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07BA78" w14:textId="77777777" w:rsidR="00B21B8A" w:rsidRPr="00F87AF6" w:rsidRDefault="00B21B8A" w:rsidP="00B21B8A">
      <w:pPr>
        <w:spacing w:line="240" w:lineRule="auto"/>
        <w:jc w:val="center"/>
        <w:rPr>
          <w:rFonts w:eastAsia="Calibri" w:cs="Times New Roman"/>
          <w:b/>
          <w:szCs w:val="24"/>
        </w:rPr>
      </w:pPr>
      <w:r w:rsidRPr="00F87AF6">
        <w:rPr>
          <w:rFonts w:eastAsia="Calibri" w:cs="Times New Roman"/>
          <w:b/>
          <w:szCs w:val="24"/>
        </w:rPr>
        <w:t>UNITED STATES DISTRICT COURT</w:t>
      </w:r>
    </w:p>
    <w:p w14:paraId="4B895D78" w14:textId="77777777" w:rsidR="00B21B8A" w:rsidRPr="00F87AF6" w:rsidRDefault="00B21B8A" w:rsidP="00B21B8A">
      <w:pPr>
        <w:spacing w:line="240" w:lineRule="auto"/>
        <w:jc w:val="center"/>
        <w:rPr>
          <w:rFonts w:eastAsia="Calibri" w:cs="Times New Roman"/>
          <w:b/>
          <w:szCs w:val="24"/>
        </w:rPr>
      </w:pPr>
    </w:p>
    <w:p w14:paraId="6FD39032" w14:textId="77777777" w:rsidR="00B21B8A" w:rsidRPr="00F87AF6" w:rsidRDefault="00B21B8A" w:rsidP="00B21B8A">
      <w:pPr>
        <w:spacing w:line="240" w:lineRule="auto"/>
        <w:ind w:left="107"/>
        <w:jc w:val="center"/>
        <w:rPr>
          <w:rFonts w:eastAsia="Times New Roman" w:cs="Times New Roman"/>
          <w:b/>
          <w:szCs w:val="24"/>
        </w:rPr>
      </w:pPr>
      <w:r w:rsidRPr="00F87AF6">
        <w:rPr>
          <w:rFonts w:eastAsia="Calibri" w:cs="Times New Roman"/>
          <w:b/>
          <w:szCs w:val="24"/>
        </w:rPr>
        <w:t>DISTRICT OF MOOT</w:t>
      </w:r>
    </w:p>
    <w:tbl>
      <w:tblPr>
        <w:tblStyle w:val="TableGrid1"/>
        <w:tblW w:w="0" w:type="auto"/>
        <w:tblBorders>
          <w:top w:val="none" w:sz="0" w:space="0" w:color="auto"/>
          <w:left w:val="none" w:sz="0" w:space="0" w:color="auto"/>
          <w:bottom w:val="single" w:sz="4" w:space="0" w:color="auto"/>
          <w:right w:val="none" w:sz="0" w:space="0" w:color="auto"/>
          <w:insideH w:val="single" w:sz="4" w:space="0" w:color="auto"/>
          <w:insideV w:val="none" w:sz="0" w:space="0" w:color="auto"/>
        </w:tblBorders>
        <w:tblLook w:val="04A0" w:firstRow="1" w:lastRow="0" w:firstColumn="1" w:lastColumn="0" w:noHBand="0" w:noVBand="1"/>
      </w:tblPr>
      <w:tblGrid>
        <w:gridCol w:w="4788"/>
        <w:gridCol w:w="4788"/>
      </w:tblGrid>
      <w:tr w:rsidR="00B21B8A" w:rsidRPr="00B06967" w14:paraId="12D77836" w14:textId="77777777" w:rsidTr="006D5738">
        <w:tc>
          <w:tcPr>
            <w:tcW w:w="4788" w:type="dxa"/>
          </w:tcPr>
          <w:p w14:paraId="224FB292" w14:textId="77777777" w:rsidR="00B21B8A" w:rsidRPr="00B06967" w:rsidRDefault="00B21B8A" w:rsidP="006D5738">
            <w:pPr>
              <w:rPr>
                <w:rFonts w:eastAsia="Calibri"/>
              </w:rPr>
            </w:pPr>
          </w:p>
        </w:tc>
        <w:tc>
          <w:tcPr>
            <w:tcW w:w="4788" w:type="dxa"/>
          </w:tcPr>
          <w:p w14:paraId="66824DCC" w14:textId="77777777" w:rsidR="00B21B8A" w:rsidRPr="00B06967" w:rsidRDefault="00B21B8A" w:rsidP="006D5738">
            <w:pPr>
              <w:rPr>
                <w:rFonts w:eastAsia="Calibri"/>
              </w:rPr>
            </w:pPr>
          </w:p>
          <w:p w14:paraId="2FEF853E" w14:textId="77777777" w:rsidR="00B21B8A" w:rsidRPr="00B06967" w:rsidRDefault="00B21B8A" w:rsidP="006D5738">
            <w:pPr>
              <w:jc w:val="right"/>
              <w:rPr>
                <w:rFonts w:eastAsia="Calibri"/>
              </w:rPr>
            </w:pPr>
          </w:p>
        </w:tc>
      </w:tr>
      <w:tr w:rsidR="00B21B8A" w:rsidRPr="00B06967" w14:paraId="4A8A0DC7" w14:textId="77777777" w:rsidTr="006D5738">
        <w:tc>
          <w:tcPr>
            <w:tcW w:w="4788" w:type="dxa"/>
          </w:tcPr>
          <w:p w14:paraId="6F2B7D8A" w14:textId="77777777" w:rsidR="00B21B8A" w:rsidRPr="00B06967" w:rsidRDefault="00B21B8A" w:rsidP="006D5738">
            <w:pPr>
              <w:rPr>
                <w:rFonts w:eastAsia="Calibri"/>
              </w:rPr>
            </w:pPr>
          </w:p>
          <w:p w14:paraId="727C13BC" w14:textId="77777777" w:rsidR="00B21B8A" w:rsidRPr="00B06967" w:rsidRDefault="00B21B8A" w:rsidP="006D5738">
            <w:pPr>
              <w:rPr>
                <w:rFonts w:eastAsia="Calibri"/>
              </w:rPr>
            </w:pPr>
            <w:r>
              <w:rPr>
                <w:rFonts w:eastAsia="Calibri"/>
              </w:rPr>
              <w:t>OGS TV, INC.</w:t>
            </w:r>
          </w:p>
          <w:p w14:paraId="1D0E1633" w14:textId="77777777" w:rsidR="00B21B8A" w:rsidRPr="00B06967" w:rsidRDefault="00B21B8A" w:rsidP="006D5738">
            <w:pPr>
              <w:rPr>
                <w:rFonts w:eastAsia="Calibri"/>
              </w:rPr>
            </w:pPr>
          </w:p>
          <w:p w14:paraId="40766297" w14:textId="77777777" w:rsidR="00B21B8A" w:rsidRPr="00B06967" w:rsidRDefault="00B21B8A" w:rsidP="006D5738">
            <w:pPr>
              <w:ind w:left="2880"/>
              <w:rPr>
                <w:rFonts w:eastAsia="Calibri"/>
              </w:rPr>
            </w:pPr>
            <w:r>
              <w:rPr>
                <w:rFonts w:eastAsia="Calibri"/>
              </w:rPr>
              <w:t>Plaintiff</w:t>
            </w:r>
            <w:r w:rsidRPr="00B06967">
              <w:rPr>
                <w:rFonts w:eastAsia="Calibri"/>
              </w:rPr>
              <w:t>,</w:t>
            </w:r>
          </w:p>
          <w:p w14:paraId="18B12050" w14:textId="77777777" w:rsidR="00B21B8A" w:rsidRPr="00B06967" w:rsidRDefault="00B21B8A" w:rsidP="006D5738">
            <w:pPr>
              <w:rPr>
                <w:rFonts w:eastAsia="Calibri"/>
              </w:rPr>
            </w:pPr>
          </w:p>
          <w:p w14:paraId="5E314E4A" w14:textId="77777777" w:rsidR="00B21B8A" w:rsidRPr="00B06967" w:rsidRDefault="00B21B8A" w:rsidP="006D5738">
            <w:pPr>
              <w:rPr>
                <w:rFonts w:eastAsia="Calibri"/>
              </w:rPr>
            </w:pPr>
            <w:r w:rsidRPr="00B06967">
              <w:rPr>
                <w:rFonts w:eastAsia="Calibri"/>
              </w:rPr>
              <w:t>vs.</w:t>
            </w:r>
          </w:p>
          <w:p w14:paraId="249553B0" w14:textId="77777777" w:rsidR="00B21B8A" w:rsidRPr="00B06967" w:rsidRDefault="00B21B8A" w:rsidP="006D5738">
            <w:pPr>
              <w:rPr>
                <w:rFonts w:eastAsia="Calibri"/>
              </w:rPr>
            </w:pPr>
          </w:p>
          <w:p w14:paraId="0FB84282" w14:textId="77777777" w:rsidR="00B21B8A" w:rsidRPr="00B06967" w:rsidRDefault="00B21B8A" w:rsidP="006D5738">
            <w:pPr>
              <w:rPr>
                <w:rFonts w:eastAsia="Calibri"/>
              </w:rPr>
            </w:pPr>
            <w:r>
              <w:rPr>
                <w:rFonts w:eastAsia="Calibri"/>
              </w:rPr>
              <w:t>Elizabeth Lime, and TinyTV, Inc.</w:t>
            </w:r>
          </w:p>
          <w:p w14:paraId="2ADC3837" w14:textId="77777777" w:rsidR="00B21B8A" w:rsidRPr="00B06967" w:rsidRDefault="00B21B8A" w:rsidP="006D5738">
            <w:pPr>
              <w:rPr>
                <w:rFonts w:eastAsia="Calibri"/>
              </w:rPr>
            </w:pPr>
          </w:p>
          <w:p w14:paraId="5D65584A" w14:textId="77777777" w:rsidR="00B21B8A" w:rsidRPr="00B06967" w:rsidRDefault="00B21B8A" w:rsidP="006D5738">
            <w:pPr>
              <w:ind w:left="2880"/>
              <w:rPr>
                <w:rFonts w:eastAsia="Calibri"/>
              </w:rPr>
            </w:pPr>
            <w:r w:rsidRPr="00B06967">
              <w:rPr>
                <w:rFonts w:eastAsia="Calibri"/>
              </w:rPr>
              <w:t>Defendants.</w:t>
            </w:r>
          </w:p>
          <w:p w14:paraId="13F90592" w14:textId="77777777" w:rsidR="00B21B8A" w:rsidRPr="00B06967" w:rsidRDefault="00B21B8A" w:rsidP="006D5738">
            <w:pPr>
              <w:rPr>
                <w:rFonts w:eastAsia="Calibri"/>
              </w:rPr>
            </w:pPr>
          </w:p>
        </w:tc>
        <w:tc>
          <w:tcPr>
            <w:tcW w:w="4788" w:type="dxa"/>
            <w:vAlign w:val="center"/>
          </w:tcPr>
          <w:p w14:paraId="53578116" w14:textId="77777777" w:rsidR="00B21B8A" w:rsidRPr="00B06967" w:rsidRDefault="00B21B8A" w:rsidP="006D5738">
            <w:pPr>
              <w:rPr>
                <w:rFonts w:eastAsia="Calibri"/>
              </w:rPr>
            </w:pPr>
            <w:r>
              <w:rPr>
                <w:rFonts w:eastAsia="Calibri"/>
              </w:rPr>
              <w:t xml:space="preserve">               Court File No. 27-CV-12</w:t>
            </w:r>
            <w:r w:rsidRPr="00B06967">
              <w:rPr>
                <w:rFonts w:eastAsia="Calibri"/>
              </w:rPr>
              <w:t>-1234</w:t>
            </w:r>
          </w:p>
          <w:p w14:paraId="5F001B08" w14:textId="77777777" w:rsidR="00B21B8A" w:rsidRPr="00B06967" w:rsidRDefault="00B21B8A" w:rsidP="006D5738">
            <w:pPr>
              <w:jc w:val="right"/>
              <w:rPr>
                <w:rFonts w:eastAsia="Calibri"/>
              </w:rPr>
            </w:pPr>
          </w:p>
          <w:p w14:paraId="2219ED48" w14:textId="77777777" w:rsidR="00B21B8A" w:rsidRDefault="00B21B8A" w:rsidP="006D5738">
            <w:pPr>
              <w:ind w:left="882"/>
              <w:rPr>
                <w:rFonts w:eastAsia="Calibri"/>
                <w:b/>
              </w:rPr>
            </w:pPr>
            <w:r>
              <w:rPr>
                <w:rFonts w:eastAsia="Calibri"/>
                <w:b/>
              </w:rPr>
              <w:t>DEFENDANTS’ MEMORANDUM</w:t>
            </w:r>
          </w:p>
          <w:p w14:paraId="57B0A1CC" w14:textId="77777777" w:rsidR="00B21B8A" w:rsidRDefault="00B21B8A" w:rsidP="006D5738">
            <w:pPr>
              <w:ind w:left="882"/>
              <w:rPr>
                <w:rFonts w:eastAsia="Calibri"/>
                <w:b/>
              </w:rPr>
            </w:pPr>
            <w:r>
              <w:rPr>
                <w:rFonts w:eastAsia="Calibri"/>
                <w:b/>
              </w:rPr>
              <w:t>IN SUPPORT OF</w:t>
            </w:r>
          </w:p>
          <w:p w14:paraId="2E3BE341" w14:textId="77777777" w:rsidR="00B21B8A" w:rsidRPr="00B06967" w:rsidRDefault="00B21B8A" w:rsidP="006D5738">
            <w:pPr>
              <w:ind w:left="882"/>
              <w:rPr>
                <w:rFonts w:eastAsia="Calibri"/>
                <w:b/>
              </w:rPr>
            </w:pPr>
            <w:r>
              <w:rPr>
                <w:rFonts w:eastAsia="Calibri"/>
                <w:b/>
              </w:rPr>
              <w:t>MOTION TO DISMISS</w:t>
            </w:r>
          </w:p>
        </w:tc>
      </w:tr>
    </w:tbl>
    <w:p w14:paraId="2D3F6AFA" w14:textId="77777777" w:rsidR="00B21B8A" w:rsidRDefault="00B21B8A" w:rsidP="00B21B8A">
      <w:pPr>
        <w:spacing w:line="240" w:lineRule="auto"/>
        <w:rPr>
          <w:rFonts w:eastAsia="Times New Roman" w:cs="Times New Roman"/>
          <w:szCs w:val="24"/>
        </w:rPr>
      </w:pPr>
    </w:p>
    <w:p w14:paraId="74F7D0EF" w14:textId="77777777" w:rsidR="00B21B8A" w:rsidRDefault="00B21B8A" w:rsidP="00B21B8A">
      <w:pPr>
        <w:jc w:val="center"/>
        <w:rPr>
          <w:rFonts w:eastAsia="Times New Roman" w:cs="Times New Roman"/>
          <w:b/>
          <w:szCs w:val="24"/>
        </w:rPr>
      </w:pPr>
      <w:r>
        <w:rPr>
          <w:rFonts w:eastAsia="Times New Roman" w:cs="Times New Roman"/>
          <w:b/>
          <w:szCs w:val="24"/>
        </w:rPr>
        <w:t>INTRODUCTION</w:t>
      </w:r>
    </w:p>
    <w:p w14:paraId="6217520A" w14:textId="77777777" w:rsidR="00B21B8A" w:rsidRDefault="00B21B8A" w:rsidP="00B21B8A">
      <w:pPr>
        <w:rPr>
          <w:rFonts w:eastAsia="Times New Roman" w:cs="Times New Roman"/>
          <w:szCs w:val="24"/>
        </w:rPr>
      </w:pPr>
      <w:r>
        <w:rPr>
          <w:rFonts w:eastAsia="Times New Roman" w:cs="Times New Roman"/>
          <w:b/>
          <w:szCs w:val="24"/>
        </w:rPr>
        <w:tab/>
      </w:r>
      <w:r>
        <w:rPr>
          <w:rFonts w:eastAsia="Times New Roman" w:cs="Times New Roman"/>
          <w:szCs w:val="24"/>
        </w:rPr>
        <w:t>In March of 2010, after a meeting with plaintiff OGS TV, INC. (“OGS”), defendant Eliz</w:t>
      </w:r>
      <w:r w:rsidR="00333E05">
        <w:rPr>
          <w:rFonts w:eastAsia="Times New Roman" w:cs="Times New Roman"/>
          <w:szCs w:val="24"/>
        </w:rPr>
        <w:t xml:space="preserve">abeth Lime (“Lime”) created a television screenplay </w:t>
      </w:r>
      <w:r>
        <w:rPr>
          <w:rFonts w:eastAsia="Times New Roman" w:cs="Times New Roman"/>
          <w:szCs w:val="24"/>
        </w:rPr>
        <w:t xml:space="preserve">entitled </w:t>
      </w:r>
      <w:r w:rsidR="00333E05">
        <w:rPr>
          <w:rFonts w:eastAsia="Times New Roman" w:cs="Times New Roman"/>
          <w:szCs w:val="24"/>
        </w:rPr>
        <w:t>“</w:t>
      </w:r>
      <w:r>
        <w:rPr>
          <w:rFonts w:eastAsia="Times New Roman" w:cs="Times New Roman"/>
          <w:szCs w:val="24"/>
        </w:rPr>
        <w:t xml:space="preserve">Anticipatory Repudiation.”  After the conclusion of the television season, OGS had not incorporated Lime’s screenplay into its television program </w:t>
      </w:r>
      <w:r>
        <w:rPr>
          <w:rFonts w:eastAsia="Times New Roman" w:cs="Times New Roman"/>
          <w:i/>
          <w:szCs w:val="24"/>
        </w:rPr>
        <w:t>Lawless Love</w:t>
      </w:r>
      <w:r>
        <w:rPr>
          <w:rFonts w:eastAsia="Times New Roman" w:cs="Times New Roman"/>
          <w:szCs w:val="24"/>
        </w:rPr>
        <w:t xml:space="preserve">, despite specifically asking her to create it.  In August and September of 2010, Lime and defendant TinyTV, Inc. (“TinyTV”) created a new television program, </w:t>
      </w:r>
      <w:r>
        <w:rPr>
          <w:rFonts w:eastAsia="Times New Roman" w:cs="Times New Roman"/>
          <w:i/>
          <w:szCs w:val="24"/>
        </w:rPr>
        <w:t>The Tin Can</w:t>
      </w:r>
      <w:r>
        <w:rPr>
          <w:rFonts w:eastAsia="Times New Roman" w:cs="Times New Roman"/>
          <w:szCs w:val="24"/>
        </w:rPr>
        <w:t>.  Defendants produced a screenplay, “The Love Below,” and aired it as the pilot episode.</w:t>
      </w:r>
    </w:p>
    <w:p w14:paraId="33B33528" w14:textId="77777777" w:rsidR="00B21B8A" w:rsidRDefault="00B21B8A" w:rsidP="00B21B8A">
      <w:pPr>
        <w:rPr>
          <w:rFonts w:eastAsia="Times New Roman" w:cs="Times New Roman"/>
          <w:b/>
          <w:szCs w:val="24"/>
        </w:rPr>
      </w:pPr>
      <w:r>
        <w:rPr>
          <w:rFonts w:eastAsia="Times New Roman" w:cs="Times New Roman"/>
          <w:szCs w:val="24"/>
        </w:rPr>
        <w:tab/>
        <w:t>This memorandum is in support of Defendants’ motion to dismiss.  OGS</w:t>
      </w:r>
      <w:r w:rsidRPr="00F87AF6">
        <w:rPr>
          <w:rFonts w:eastAsia="Times New Roman" w:cs="Times New Roman"/>
          <w:szCs w:val="24"/>
        </w:rPr>
        <w:t xml:space="preserve"> contends that it owns copyright to “Anticipatory Repudiation,” and that </w:t>
      </w:r>
      <w:r>
        <w:rPr>
          <w:rFonts w:eastAsia="Times New Roman" w:cs="Times New Roman"/>
          <w:szCs w:val="24"/>
        </w:rPr>
        <w:t xml:space="preserve">the creation, performance, and broadcast of </w:t>
      </w:r>
      <w:r w:rsidRPr="00F87AF6">
        <w:rPr>
          <w:rFonts w:eastAsia="Times New Roman" w:cs="Times New Roman"/>
          <w:szCs w:val="24"/>
        </w:rPr>
        <w:t xml:space="preserve">“The Love Below” represent infringement of copyright.  This is incorrect, however, </w:t>
      </w:r>
      <w:r w:rsidR="00333E05">
        <w:rPr>
          <w:rFonts w:eastAsia="Times New Roman" w:cs="Times New Roman"/>
          <w:szCs w:val="24"/>
        </w:rPr>
        <w:t>as</w:t>
      </w:r>
      <w:r w:rsidRPr="00F87AF6">
        <w:rPr>
          <w:rFonts w:eastAsia="Times New Roman" w:cs="Times New Roman"/>
          <w:szCs w:val="24"/>
        </w:rPr>
        <w:t xml:space="preserve"> </w:t>
      </w:r>
      <w:r>
        <w:rPr>
          <w:rFonts w:eastAsia="Times New Roman" w:cs="Times New Roman"/>
          <w:szCs w:val="24"/>
        </w:rPr>
        <w:t>OGS</w:t>
      </w:r>
      <w:r w:rsidRPr="00F87AF6">
        <w:rPr>
          <w:rFonts w:eastAsia="Times New Roman" w:cs="Times New Roman"/>
          <w:szCs w:val="24"/>
        </w:rPr>
        <w:t xml:space="preserve"> and Lime did not execute a written agreement prior to the creation of “Anticipatory Repudiation” asserting that it was to be considered a work made for hire </w:t>
      </w:r>
      <w:r>
        <w:rPr>
          <w:rFonts w:eastAsia="Times New Roman" w:cs="Times New Roman"/>
          <w:szCs w:val="24"/>
        </w:rPr>
        <w:t>within the scope of</w:t>
      </w:r>
      <w:r w:rsidRPr="00F87AF6">
        <w:rPr>
          <w:rFonts w:eastAsia="Times New Roman" w:cs="Times New Roman"/>
          <w:szCs w:val="24"/>
        </w:rPr>
        <w:t xml:space="preserve"> the Copyright Act of 1976</w:t>
      </w:r>
      <w:r w:rsidR="00A95E6C">
        <w:rPr>
          <w:rFonts w:eastAsia="Times New Roman" w:cs="Times New Roman"/>
          <w:szCs w:val="24"/>
        </w:rPr>
        <w:t xml:space="preserve"> (“the Act”)</w:t>
      </w:r>
      <w:r>
        <w:rPr>
          <w:rFonts w:eastAsia="Times New Roman" w:cs="Times New Roman"/>
          <w:szCs w:val="24"/>
        </w:rPr>
        <w:t xml:space="preserve">.  This Court should dismiss the claims brought forth by OGS, as Lime is the </w:t>
      </w:r>
      <w:r>
        <w:rPr>
          <w:rFonts w:eastAsia="Times New Roman" w:cs="Times New Roman"/>
          <w:szCs w:val="24"/>
        </w:rPr>
        <w:lastRenderedPageBreak/>
        <w:t>true owner of copyright for “Anticipatory Repudiation.”  OGS cannot state a valid claim for relief when it never owned the rights to the work in question.</w:t>
      </w:r>
    </w:p>
    <w:p w14:paraId="7D0B0C1B" w14:textId="77777777" w:rsidR="00B21B8A" w:rsidRDefault="00B21B8A" w:rsidP="00B21B8A">
      <w:pPr>
        <w:jc w:val="center"/>
        <w:rPr>
          <w:rFonts w:eastAsia="Times New Roman" w:cs="Times New Roman"/>
          <w:b/>
          <w:szCs w:val="24"/>
        </w:rPr>
      </w:pPr>
      <w:r>
        <w:rPr>
          <w:rFonts w:eastAsia="Times New Roman" w:cs="Times New Roman"/>
          <w:b/>
          <w:szCs w:val="24"/>
        </w:rPr>
        <w:t>STATEMENT OF FACTS</w:t>
      </w:r>
    </w:p>
    <w:p w14:paraId="2BDC5A13" w14:textId="77777777" w:rsidR="00B21B8A" w:rsidRDefault="00B21B8A" w:rsidP="00B21B8A">
      <w:pPr>
        <w:rPr>
          <w:rFonts w:eastAsia="Times New Roman" w:cs="Times New Roman"/>
          <w:szCs w:val="24"/>
        </w:rPr>
      </w:pPr>
      <w:r>
        <w:rPr>
          <w:rFonts w:eastAsia="Times New Roman" w:cs="Times New Roman"/>
          <w:szCs w:val="24"/>
        </w:rPr>
        <w:tab/>
        <w:t xml:space="preserve">OGS is the producer of the television program </w:t>
      </w:r>
      <w:r>
        <w:rPr>
          <w:rFonts w:eastAsia="Times New Roman" w:cs="Times New Roman"/>
          <w:i/>
          <w:szCs w:val="24"/>
        </w:rPr>
        <w:t>Lawless Love</w:t>
      </w:r>
      <w:r>
        <w:rPr>
          <w:rFonts w:eastAsia="Times New Roman" w:cs="Times New Roman"/>
          <w:szCs w:val="24"/>
        </w:rPr>
        <w:t>, which depicts the lives of young attorneys.  (Pl.’s Compl. ¶ 5).  Lime is a veteran television writer of more than fifteen years.  (</w:t>
      </w:r>
      <w:r>
        <w:rPr>
          <w:rFonts w:eastAsia="Times New Roman" w:cs="Times New Roman"/>
          <w:i/>
          <w:szCs w:val="24"/>
        </w:rPr>
        <w:t>Id.</w:t>
      </w:r>
      <w:r>
        <w:rPr>
          <w:rFonts w:eastAsia="Times New Roman" w:cs="Times New Roman"/>
          <w:szCs w:val="24"/>
        </w:rPr>
        <w:t xml:space="preserve"> ¶ 11).  In March of 2010, OGS made contact with Lime, asking her to create a screenplay for an episode of </w:t>
      </w:r>
      <w:r>
        <w:rPr>
          <w:rFonts w:eastAsia="Times New Roman" w:cs="Times New Roman"/>
          <w:i/>
          <w:szCs w:val="24"/>
        </w:rPr>
        <w:t>Lawless Love</w:t>
      </w:r>
      <w:r>
        <w:rPr>
          <w:rFonts w:eastAsia="Times New Roman" w:cs="Times New Roman"/>
          <w:szCs w:val="24"/>
        </w:rPr>
        <w:t>.  (</w:t>
      </w:r>
      <w:r w:rsidRPr="00773B89">
        <w:rPr>
          <w:rFonts w:eastAsia="Times New Roman" w:cs="Times New Roman"/>
          <w:i/>
          <w:szCs w:val="24"/>
        </w:rPr>
        <w:t>Id.</w:t>
      </w:r>
      <w:r w:rsidRPr="00773B89">
        <w:rPr>
          <w:rFonts w:eastAsia="Times New Roman" w:cs="Times New Roman"/>
          <w:szCs w:val="24"/>
        </w:rPr>
        <w:t xml:space="preserve"> ¶ 9).</w:t>
      </w:r>
      <w:r>
        <w:rPr>
          <w:rFonts w:eastAsia="Times New Roman" w:cs="Times New Roman"/>
          <w:szCs w:val="24"/>
        </w:rPr>
        <w:t xml:space="preserve">  That day, Lime met with Dave Nelson (“Nelson”), executive producer of </w:t>
      </w:r>
      <w:r>
        <w:rPr>
          <w:rFonts w:eastAsia="Times New Roman" w:cs="Times New Roman"/>
          <w:i/>
          <w:szCs w:val="24"/>
        </w:rPr>
        <w:t>Lawless Love</w:t>
      </w:r>
      <w:r>
        <w:rPr>
          <w:rFonts w:eastAsia="Times New Roman" w:cs="Times New Roman"/>
          <w:szCs w:val="24"/>
        </w:rPr>
        <w:t>, to work out the details of a possible agreement.  (</w:t>
      </w:r>
      <w:r>
        <w:rPr>
          <w:rFonts w:eastAsia="Times New Roman" w:cs="Times New Roman"/>
          <w:i/>
          <w:szCs w:val="24"/>
        </w:rPr>
        <w:t xml:space="preserve">Id. </w:t>
      </w:r>
      <w:r>
        <w:rPr>
          <w:rFonts w:eastAsia="Times New Roman" w:cs="Times New Roman"/>
          <w:szCs w:val="24"/>
        </w:rPr>
        <w:t xml:space="preserve">¶ 12).   </w:t>
      </w:r>
    </w:p>
    <w:p w14:paraId="3F7864E4" w14:textId="77777777" w:rsidR="00B21B8A" w:rsidRDefault="00B21B8A" w:rsidP="00B21B8A">
      <w:pPr>
        <w:rPr>
          <w:rFonts w:eastAsia="Times New Roman" w:cs="Times New Roman"/>
          <w:szCs w:val="24"/>
        </w:rPr>
      </w:pPr>
      <w:r>
        <w:rPr>
          <w:rFonts w:eastAsia="Times New Roman" w:cs="Times New Roman"/>
          <w:szCs w:val="24"/>
        </w:rPr>
        <w:tab/>
        <w:t xml:space="preserve">At that meeting, Nelson and Lime entered into an oral agreement for Lime to write a screenplay for </w:t>
      </w:r>
      <w:r>
        <w:rPr>
          <w:rFonts w:eastAsia="Times New Roman" w:cs="Times New Roman"/>
          <w:i/>
          <w:szCs w:val="24"/>
        </w:rPr>
        <w:t>Lawless Love</w:t>
      </w:r>
      <w:r>
        <w:rPr>
          <w:rFonts w:eastAsia="Times New Roman" w:cs="Times New Roman"/>
          <w:szCs w:val="24"/>
        </w:rPr>
        <w:t>.  (</w:t>
      </w:r>
      <w:r>
        <w:rPr>
          <w:rFonts w:eastAsia="Times New Roman" w:cs="Times New Roman"/>
          <w:i/>
          <w:szCs w:val="24"/>
        </w:rPr>
        <w:t>Id.</w:t>
      </w:r>
      <w:r>
        <w:rPr>
          <w:rFonts w:eastAsia="Times New Roman" w:cs="Times New Roman"/>
          <w:szCs w:val="24"/>
        </w:rPr>
        <w:t xml:space="preserve"> ¶ 13).  Nelson and Lime agreed on a compensation figure of $6,000, and they orally agreed that the screenplay was to be considered a work made for hire.  (</w:t>
      </w:r>
      <w:r>
        <w:rPr>
          <w:rFonts w:eastAsia="Times New Roman" w:cs="Times New Roman"/>
          <w:i/>
          <w:szCs w:val="24"/>
        </w:rPr>
        <w:t>Id.</w:t>
      </w:r>
      <w:r>
        <w:rPr>
          <w:rFonts w:eastAsia="Times New Roman" w:cs="Times New Roman"/>
          <w:szCs w:val="24"/>
        </w:rPr>
        <w:t xml:space="preserve"> ¶¶ 15-18).  </w:t>
      </w:r>
    </w:p>
    <w:p w14:paraId="08C35E71" w14:textId="77777777" w:rsidR="00B21B8A" w:rsidRDefault="00B21B8A" w:rsidP="00B21B8A">
      <w:pPr>
        <w:rPr>
          <w:rFonts w:eastAsia="Times New Roman" w:cs="Times New Roman"/>
          <w:szCs w:val="24"/>
        </w:rPr>
      </w:pPr>
      <w:r>
        <w:rPr>
          <w:rFonts w:eastAsia="Times New Roman" w:cs="Times New Roman"/>
          <w:szCs w:val="24"/>
        </w:rPr>
        <w:tab/>
        <w:t>Lime then submitted “Anticipatory Repudiation” to OGS on April 1, 2010.  (</w:t>
      </w:r>
      <w:r>
        <w:rPr>
          <w:rFonts w:eastAsia="Times New Roman" w:cs="Times New Roman"/>
          <w:i/>
          <w:szCs w:val="24"/>
        </w:rPr>
        <w:t>Id.</w:t>
      </w:r>
      <w:r>
        <w:rPr>
          <w:rFonts w:eastAsia="Times New Roman" w:cs="Times New Roman"/>
          <w:szCs w:val="24"/>
        </w:rPr>
        <w:t xml:space="preserve"> ¶ 21).  The next day, OGS file</w:t>
      </w:r>
      <w:r w:rsidR="0065633B">
        <w:rPr>
          <w:rFonts w:eastAsia="Times New Roman" w:cs="Times New Roman"/>
          <w:szCs w:val="24"/>
        </w:rPr>
        <w:t>d the screenplay with the</w:t>
      </w:r>
      <w:r>
        <w:rPr>
          <w:rFonts w:eastAsia="Times New Roman" w:cs="Times New Roman"/>
          <w:szCs w:val="24"/>
        </w:rPr>
        <w:t xml:space="preserve"> Register of Copyrights.  (</w:t>
      </w:r>
      <w:r>
        <w:rPr>
          <w:rFonts w:eastAsia="Times New Roman" w:cs="Times New Roman"/>
          <w:i/>
          <w:szCs w:val="24"/>
        </w:rPr>
        <w:t xml:space="preserve">Id. </w:t>
      </w:r>
      <w:r>
        <w:rPr>
          <w:rFonts w:eastAsia="Times New Roman" w:cs="Times New Roman"/>
          <w:szCs w:val="24"/>
        </w:rPr>
        <w:t>¶ 22).  On April 6, 2010, after the screenplay had been created and submitted, Nelson and Lime executed a written “Work-Made-For-Hire Agreement” when Lime had come to Plaintiff’s office to pick up her compensation check.  (</w:t>
      </w:r>
      <w:r>
        <w:rPr>
          <w:rFonts w:eastAsia="Times New Roman" w:cs="Times New Roman"/>
          <w:i/>
          <w:szCs w:val="24"/>
        </w:rPr>
        <w:t>Id.</w:t>
      </w:r>
      <w:r>
        <w:rPr>
          <w:rFonts w:eastAsia="Times New Roman" w:cs="Times New Roman"/>
          <w:szCs w:val="24"/>
        </w:rPr>
        <w:t xml:space="preserve"> ¶¶ 24-25).  </w:t>
      </w:r>
    </w:p>
    <w:p w14:paraId="4A0ABFD6" w14:textId="77777777" w:rsidR="00B21B8A" w:rsidRDefault="00B21B8A" w:rsidP="00B21B8A">
      <w:pPr>
        <w:rPr>
          <w:rFonts w:eastAsia="Times New Roman" w:cs="Times New Roman"/>
          <w:szCs w:val="24"/>
        </w:rPr>
      </w:pPr>
      <w:r>
        <w:rPr>
          <w:rFonts w:eastAsia="Times New Roman" w:cs="Times New Roman"/>
          <w:szCs w:val="24"/>
        </w:rPr>
        <w:tab/>
        <w:t xml:space="preserve">At the end of the television season, however, </w:t>
      </w:r>
      <w:r>
        <w:rPr>
          <w:rFonts w:eastAsia="Times New Roman" w:cs="Times New Roman"/>
          <w:i/>
          <w:szCs w:val="24"/>
        </w:rPr>
        <w:t>Lawless Love</w:t>
      </w:r>
      <w:r>
        <w:rPr>
          <w:rFonts w:eastAsia="Times New Roman" w:cs="Times New Roman"/>
          <w:szCs w:val="24"/>
        </w:rPr>
        <w:t xml:space="preserve"> had run without OGS actually utilizing “Anticipatory Repudiation” as the basis for an episode.  (</w:t>
      </w:r>
      <w:r>
        <w:rPr>
          <w:rFonts w:eastAsia="Times New Roman" w:cs="Times New Roman"/>
          <w:i/>
          <w:szCs w:val="24"/>
        </w:rPr>
        <w:t>Id.</w:t>
      </w:r>
      <w:r>
        <w:rPr>
          <w:rFonts w:eastAsia="Times New Roman" w:cs="Times New Roman"/>
          <w:szCs w:val="24"/>
        </w:rPr>
        <w:t xml:space="preserve"> ¶ 26).  </w:t>
      </w:r>
      <w:r w:rsidRPr="00176C5E">
        <w:rPr>
          <w:rFonts w:eastAsia="Times New Roman" w:cs="Times New Roman"/>
          <w:szCs w:val="24"/>
        </w:rPr>
        <w:t>Executives cited the expense of having to shoot a submarine scene, as well as general displeasure, as their rationale for not using the screenplay.</w:t>
      </w:r>
      <w:r>
        <w:rPr>
          <w:rFonts w:eastAsia="Times New Roman" w:cs="Times New Roman"/>
          <w:szCs w:val="24"/>
        </w:rPr>
        <w:t xml:space="preserve">  (</w:t>
      </w:r>
      <w:r>
        <w:rPr>
          <w:rFonts w:eastAsia="Times New Roman" w:cs="Times New Roman"/>
          <w:i/>
          <w:szCs w:val="24"/>
        </w:rPr>
        <w:t>Id.</w:t>
      </w:r>
      <w:r>
        <w:rPr>
          <w:rFonts w:eastAsia="Times New Roman" w:cs="Times New Roman"/>
          <w:szCs w:val="24"/>
        </w:rPr>
        <w:t xml:space="preserve"> ¶ 26).</w:t>
      </w:r>
    </w:p>
    <w:p w14:paraId="196E43B8" w14:textId="77777777" w:rsidR="00B21B8A" w:rsidRDefault="00B21B8A" w:rsidP="00B21B8A">
      <w:pPr>
        <w:rPr>
          <w:rFonts w:eastAsia="Times New Roman" w:cs="Times New Roman"/>
          <w:szCs w:val="24"/>
        </w:rPr>
      </w:pPr>
      <w:r>
        <w:rPr>
          <w:rFonts w:eastAsia="Times New Roman" w:cs="Times New Roman"/>
          <w:szCs w:val="24"/>
        </w:rPr>
        <w:lastRenderedPageBreak/>
        <w:tab/>
        <w:t xml:space="preserve">In August and September of 2010, Lime began working with TinyTV to create a new television program, </w:t>
      </w:r>
      <w:r>
        <w:rPr>
          <w:rFonts w:eastAsia="Times New Roman" w:cs="Times New Roman"/>
          <w:i/>
          <w:szCs w:val="24"/>
        </w:rPr>
        <w:t>The Tin Can</w:t>
      </w:r>
      <w:r>
        <w:rPr>
          <w:rFonts w:eastAsia="Times New Roman" w:cs="Times New Roman"/>
          <w:szCs w:val="24"/>
        </w:rPr>
        <w:t>.  (</w:t>
      </w:r>
      <w:r>
        <w:rPr>
          <w:rFonts w:eastAsia="Times New Roman" w:cs="Times New Roman"/>
          <w:i/>
          <w:szCs w:val="24"/>
        </w:rPr>
        <w:t>Id.</w:t>
      </w:r>
      <w:r>
        <w:rPr>
          <w:rFonts w:eastAsia="Times New Roman" w:cs="Times New Roman"/>
          <w:szCs w:val="24"/>
        </w:rPr>
        <w:t xml:space="preserve"> ¶¶ 26-29).  Defendants worked together to craft a screenplay for the pilot episode of </w:t>
      </w:r>
      <w:r>
        <w:rPr>
          <w:rFonts w:eastAsia="Times New Roman" w:cs="Times New Roman"/>
          <w:i/>
          <w:szCs w:val="24"/>
        </w:rPr>
        <w:t>The Tin Can</w:t>
      </w:r>
      <w:r>
        <w:rPr>
          <w:rFonts w:eastAsia="Times New Roman" w:cs="Times New Roman"/>
          <w:szCs w:val="24"/>
        </w:rPr>
        <w:t>, “The Love Below.”  (</w:t>
      </w:r>
      <w:r>
        <w:rPr>
          <w:rFonts w:eastAsia="Times New Roman" w:cs="Times New Roman"/>
          <w:i/>
          <w:szCs w:val="24"/>
        </w:rPr>
        <w:t>Id.</w:t>
      </w:r>
      <w:r>
        <w:rPr>
          <w:rFonts w:eastAsia="Times New Roman" w:cs="Times New Roman"/>
          <w:szCs w:val="24"/>
        </w:rPr>
        <w:t xml:space="preserve"> ¶ 28).  TinyTV broadcast that episode to the public on September 7, 2010.  (</w:t>
      </w:r>
      <w:r>
        <w:rPr>
          <w:rFonts w:eastAsia="Times New Roman" w:cs="Times New Roman"/>
          <w:i/>
          <w:szCs w:val="24"/>
        </w:rPr>
        <w:t>Id.</w:t>
      </w:r>
      <w:r>
        <w:rPr>
          <w:rFonts w:eastAsia="Times New Roman" w:cs="Times New Roman"/>
          <w:szCs w:val="24"/>
        </w:rPr>
        <w:t xml:space="preserve"> ¶ 29).  </w:t>
      </w:r>
    </w:p>
    <w:p w14:paraId="3628AE8E" w14:textId="77777777" w:rsidR="00B21B8A" w:rsidRDefault="00B21B8A" w:rsidP="00B21B8A">
      <w:pPr>
        <w:rPr>
          <w:rFonts w:eastAsia="Times New Roman" w:cs="Times New Roman"/>
          <w:szCs w:val="24"/>
        </w:rPr>
      </w:pPr>
      <w:r>
        <w:rPr>
          <w:rFonts w:eastAsia="Times New Roman" w:cs="Times New Roman"/>
          <w:szCs w:val="24"/>
        </w:rPr>
        <w:tab/>
        <w:t>Plaintiff then brought suit against Defendants.  On January 17, 2012, Plaintiff filed a complaint alleging that it owns the copyright for “Anticipatory Repudiation” and that “The Love Below” substantially copied “Anticipatory Repudiation” without Plaintiff’s consent.  (</w:t>
      </w:r>
      <w:r>
        <w:rPr>
          <w:rFonts w:eastAsia="Times New Roman" w:cs="Times New Roman"/>
          <w:i/>
          <w:szCs w:val="24"/>
        </w:rPr>
        <w:t>Id.</w:t>
      </w:r>
      <w:r>
        <w:rPr>
          <w:rFonts w:eastAsia="Times New Roman" w:cs="Times New Roman"/>
          <w:szCs w:val="24"/>
        </w:rPr>
        <w:t xml:space="preserve"> ¶¶ 23, 28).  On January 20, 2012, Defendants filed an answer arguing that Plaintiff does not own the copyright for “Anticipatory Repudiation” because no written agreement was executed prior to its creation.  (Defs.’ Answer ¶ 3).</w:t>
      </w:r>
    </w:p>
    <w:p w14:paraId="51BD46B7" w14:textId="77777777" w:rsidR="00B21B8A" w:rsidRDefault="00B21B8A" w:rsidP="00B21B8A">
      <w:pPr>
        <w:rPr>
          <w:rFonts w:eastAsia="Times New Roman" w:cs="Times New Roman"/>
          <w:szCs w:val="24"/>
        </w:rPr>
      </w:pPr>
      <w:r>
        <w:rPr>
          <w:rFonts w:eastAsia="Times New Roman" w:cs="Times New Roman"/>
          <w:szCs w:val="24"/>
        </w:rPr>
        <w:tab/>
        <w:t xml:space="preserve">As outlined in Plaintiff’s Complaint, Plaintiff is suing Defendants under the </w:t>
      </w:r>
      <w:r w:rsidR="00A95E6C">
        <w:rPr>
          <w:rFonts w:eastAsia="Times New Roman" w:cs="Times New Roman"/>
          <w:szCs w:val="24"/>
        </w:rPr>
        <w:t>Act</w:t>
      </w:r>
      <w:r>
        <w:rPr>
          <w:rFonts w:eastAsia="Times New Roman" w:cs="Times New Roman"/>
          <w:szCs w:val="24"/>
        </w:rPr>
        <w:t>, 17 U.S.C. § 101.  (Pl.’s Compl. ¶ 1).  It has been established that all parties are subject to the jurisdiction of Moot.  (</w:t>
      </w:r>
      <w:r>
        <w:rPr>
          <w:rFonts w:eastAsia="Times New Roman" w:cs="Times New Roman"/>
          <w:i/>
          <w:szCs w:val="24"/>
        </w:rPr>
        <w:t>Id.</w:t>
      </w:r>
      <w:r>
        <w:rPr>
          <w:rFonts w:eastAsia="Times New Roman" w:cs="Times New Roman"/>
          <w:szCs w:val="24"/>
        </w:rPr>
        <w:t xml:space="preserve"> ¶¶ 2-4).</w:t>
      </w:r>
    </w:p>
    <w:p w14:paraId="654EBF1B" w14:textId="77777777" w:rsidR="00B21B8A" w:rsidRDefault="00B21B8A" w:rsidP="00B21B8A">
      <w:pPr>
        <w:jc w:val="center"/>
        <w:rPr>
          <w:rFonts w:eastAsia="Times New Roman" w:cs="Times New Roman"/>
          <w:b/>
          <w:szCs w:val="24"/>
        </w:rPr>
      </w:pPr>
      <w:r>
        <w:rPr>
          <w:rFonts w:eastAsia="Times New Roman" w:cs="Times New Roman"/>
          <w:b/>
          <w:szCs w:val="24"/>
        </w:rPr>
        <w:t>STANDARD OF REVIEW</w:t>
      </w:r>
    </w:p>
    <w:p w14:paraId="19066CD7" w14:textId="77777777" w:rsidR="00F54D8C" w:rsidRDefault="00B21B8A" w:rsidP="00F54D8C">
      <w:pPr>
        <w:rPr>
          <w:rFonts w:eastAsia="Times New Roman" w:cs="Times New Roman"/>
          <w:szCs w:val="24"/>
        </w:rPr>
      </w:pPr>
      <w:r>
        <w:rPr>
          <w:rFonts w:eastAsia="Times New Roman" w:cs="Times New Roman"/>
          <w:szCs w:val="24"/>
        </w:rPr>
        <w:tab/>
        <w:t>In adjudicating a Fed. R. Civ. P. 12(b)(6) motion to dismiss, courts can only allow complaints to survive if they “</w:t>
      </w:r>
      <w:r w:rsidRPr="006431BF">
        <w:rPr>
          <w:rFonts w:eastAsia="Times New Roman" w:cs="Times New Roman"/>
          <w:szCs w:val="24"/>
        </w:rPr>
        <w:t>contain sufficient factua</w:t>
      </w:r>
      <w:r>
        <w:rPr>
          <w:rFonts w:eastAsia="Times New Roman" w:cs="Times New Roman"/>
          <w:szCs w:val="24"/>
        </w:rPr>
        <w:t>l matter, accepted as true, to ‘</w:t>
      </w:r>
      <w:r w:rsidRPr="006431BF">
        <w:rPr>
          <w:rFonts w:eastAsia="Times New Roman" w:cs="Times New Roman"/>
          <w:szCs w:val="24"/>
        </w:rPr>
        <w:t>state a claim to relief that is plausible on its face.</w:t>
      </w:r>
      <w:r>
        <w:rPr>
          <w:rFonts w:eastAsia="Times New Roman" w:cs="Times New Roman"/>
          <w:szCs w:val="24"/>
        </w:rPr>
        <w:t>’”</w:t>
      </w:r>
      <w:r w:rsidRPr="006431BF">
        <w:rPr>
          <w:rFonts w:eastAsia="Times New Roman" w:cs="Times New Roman"/>
          <w:szCs w:val="24"/>
        </w:rPr>
        <w:t xml:space="preserve"> </w:t>
      </w:r>
      <w:r>
        <w:rPr>
          <w:rFonts w:eastAsia="Times New Roman" w:cs="Times New Roman"/>
          <w:szCs w:val="24"/>
        </w:rPr>
        <w:t xml:space="preserve"> </w:t>
      </w:r>
      <w:r w:rsidRPr="006431BF">
        <w:rPr>
          <w:rFonts w:eastAsia="Times New Roman" w:cs="Times New Roman"/>
          <w:i/>
          <w:szCs w:val="24"/>
        </w:rPr>
        <w:t>Ashcroft v. Iqbal</w:t>
      </w:r>
      <w:r w:rsidRPr="006431BF">
        <w:rPr>
          <w:rFonts w:eastAsia="Times New Roman" w:cs="Times New Roman"/>
          <w:szCs w:val="24"/>
        </w:rPr>
        <w:t xml:space="preserve">, </w:t>
      </w:r>
      <w:r w:rsidR="00450F12" w:rsidRPr="00D048B3">
        <w:rPr>
          <w:rFonts w:eastAsia="Times New Roman" w:cs="Times New Roman"/>
          <w:szCs w:val="24"/>
        </w:rPr>
        <w:t xml:space="preserve">556 U.S. 662, </w:t>
      </w:r>
      <w:r w:rsidRPr="00D048B3">
        <w:rPr>
          <w:rFonts w:eastAsia="Times New Roman" w:cs="Times New Roman"/>
          <w:szCs w:val="24"/>
        </w:rPr>
        <w:t>129 S.Ct. 1937, 1949</w:t>
      </w:r>
      <w:r w:rsidRPr="006431BF">
        <w:rPr>
          <w:rFonts w:eastAsia="Times New Roman" w:cs="Times New Roman"/>
          <w:szCs w:val="24"/>
        </w:rPr>
        <w:t xml:space="preserve"> (2009)</w:t>
      </w:r>
      <w:r w:rsidRPr="00BB014F">
        <w:rPr>
          <w:rFonts w:eastAsia="Times New Roman" w:cs="Times New Roman"/>
          <w:szCs w:val="24"/>
        </w:rPr>
        <w:t xml:space="preserve"> (citing </w:t>
      </w:r>
      <w:r w:rsidRPr="00BB014F">
        <w:rPr>
          <w:rFonts w:eastAsia="Times New Roman" w:cs="Times New Roman"/>
          <w:i/>
          <w:szCs w:val="24"/>
        </w:rPr>
        <w:t>Bell Atl. Corp. v. Twombley</w:t>
      </w:r>
      <w:r w:rsidRPr="00BB014F">
        <w:rPr>
          <w:rFonts w:eastAsia="Times New Roman" w:cs="Times New Roman"/>
          <w:szCs w:val="24"/>
        </w:rPr>
        <w:t xml:space="preserve">, 550 U.S. 544, 570 (2007)).  The modern pleading standard is intentionally relaxed, “but it demands more than an unadorned, the-defendant-unlawfully-harmed-me accusation.”  </w:t>
      </w:r>
      <w:r w:rsidRPr="00BB014F">
        <w:rPr>
          <w:rFonts w:eastAsia="Times New Roman" w:cs="Times New Roman"/>
          <w:i/>
          <w:szCs w:val="24"/>
        </w:rPr>
        <w:t>Id</w:t>
      </w:r>
      <w:r w:rsidRPr="00BB014F">
        <w:rPr>
          <w:rFonts w:eastAsia="Times New Roman" w:cs="Times New Roman"/>
          <w:szCs w:val="24"/>
        </w:rPr>
        <w:t xml:space="preserve"> (citing </w:t>
      </w:r>
      <w:r w:rsidR="00A95E6C">
        <w:rPr>
          <w:rFonts w:eastAsia="Times New Roman" w:cs="Times New Roman"/>
          <w:i/>
          <w:szCs w:val="24"/>
        </w:rPr>
        <w:t>Bell</w:t>
      </w:r>
      <w:r w:rsidRPr="00BB014F">
        <w:rPr>
          <w:rFonts w:eastAsia="Times New Roman" w:cs="Times New Roman"/>
          <w:szCs w:val="24"/>
        </w:rPr>
        <w:t xml:space="preserve">, 550 U.S. </w:t>
      </w:r>
      <w:r w:rsidR="00A95E6C">
        <w:rPr>
          <w:rFonts w:eastAsia="Times New Roman" w:cs="Times New Roman"/>
          <w:szCs w:val="24"/>
        </w:rPr>
        <w:t>at 555</w:t>
      </w:r>
      <w:r w:rsidRPr="00BB014F">
        <w:rPr>
          <w:rFonts w:eastAsia="Times New Roman" w:cs="Times New Roman"/>
          <w:szCs w:val="24"/>
        </w:rPr>
        <w:t>).  Furthermore, “</w:t>
      </w:r>
      <w:r w:rsidR="001044D4">
        <w:rPr>
          <w:rFonts w:eastAsia="Times New Roman" w:cs="Times New Roman"/>
          <w:szCs w:val="24"/>
        </w:rPr>
        <w:t>[w]</w:t>
      </w:r>
      <w:r w:rsidRPr="00BB014F">
        <w:rPr>
          <w:rFonts w:eastAsia="Times New Roman" w:cs="Times New Roman"/>
          <w:szCs w:val="24"/>
        </w:rPr>
        <w:t xml:space="preserve">hile legal conclusions can provide the framework of a complaint, they must be supported by factual allegations.”  </w:t>
      </w:r>
      <w:r w:rsidRPr="00BB014F">
        <w:rPr>
          <w:rFonts w:eastAsia="Times New Roman" w:cs="Times New Roman"/>
          <w:i/>
          <w:szCs w:val="24"/>
        </w:rPr>
        <w:t>Id</w:t>
      </w:r>
      <w:r w:rsidRPr="00BB014F">
        <w:rPr>
          <w:rFonts w:eastAsia="Times New Roman" w:cs="Times New Roman"/>
          <w:szCs w:val="24"/>
        </w:rPr>
        <w:t>.   This Memorandum asserts</w:t>
      </w:r>
      <w:r>
        <w:rPr>
          <w:rFonts w:eastAsia="Times New Roman" w:cs="Times New Roman"/>
          <w:szCs w:val="24"/>
        </w:rPr>
        <w:t xml:space="preserve"> that Plaintiff’s claim must be dismissed, as it is not adequately supported by factual allegations to warrant surviving a motion to dismi</w:t>
      </w:r>
      <w:r w:rsidR="00F54D8C">
        <w:rPr>
          <w:rFonts w:eastAsia="Times New Roman" w:cs="Times New Roman"/>
          <w:szCs w:val="24"/>
        </w:rPr>
        <w:t>ss.</w:t>
      </w:r>
    </w:p>
    <w:p w14:paraId="268A3B84" w14:textId="77777777" w:rsidR="00F54D8C" w:rsidRDefault="00F54D8C" w:rsidP="00F54D8C">
      <w:pPr>
        <w:jc w:val="center"/>
        <w:rPr>
          <w:rFonts w:eastAsia="Times New Roman" w:cs="Times New Roman"/>
          <w:b/>
          <w:szCs w:val="24"/>
        </w:rPr>
      </w:pPr>
      <w:r>
        <w:rPr>
          <w:rFonts w:eastAsia="Times New Roman" w:cs="Times New Roman"/>
          <w:b/>
          <w:szCs w:val="24"/>
        </w:rPr>
        <w:lastRenderedPageBreak/>
        <w:t>ARGUMENT</w:t>
      </w:r>
    </w:p>
    <w:p w14:paraId="2019EE67" w14:textId="77777777" w:rsidR="00F54D8C" w:rsidRDefault="00131BE3" w:rsidP="003877F0">
      <w:pPr>
        <w:pStyle w:val="ListParagraph"/>
        <w:numPr>
          <w:ilvl w:val="0"/>
          <w:numId w:val="1"/>
        </w:numPr>
        <w:spacing w:line="240" w:lineRule="auto"/>
        <w:rPr>
          <w:rFonts w:eastAsia="Times New Roman" w:cs="Times New Roman"/>
          <w:b/>
          <w:szCs w:val="24"/>
        </w:rPr>
      </w:pPr>
      <w:r>
        <w:rPr>
          <w:rFonts w:eastAsia="Times New Roman" w:cs="Times New Roman"/>
          <w:b/>
          <w:szCs w:val="24"/>
        </w:rPr>
        <w:t xml:space="preserve">Plaintiff May Not Be Afforded Copyright Protection For </w:t>
      </w:r>
      <w:r w:rsidR="00733025">
        <w:rPr>
          <w:rFonts w:eastAsia="Times New Roman" w:cs="Times New Roman"/>
          <w:b/>
          <w:szCs w:val="24"/>
        </w:rPr>
        <w:t>“Anticipatory Repudiation”</w:t>
      </w:r>
      <w:r>
        <w:rPr>
          <w:rFonts w:eastAsia="Times New Roman" w:cs="Times New Roman"/>
          <w:b/>
          <w:szCs w:val="24"/>
        </w:rPr>
        <w:t xml:space="preserve"> Because It </w:t>
      </w:r>
      <w:r w:rsidR="00733025">
        <w:rPr>
          <w:rFonts w:eastAsia="Times New Roman" w:cs="Times New Roman"/>
          <w:b/>
          <w:szCs w:val="24"/>
        </w:rPr>
        <w:t xml:space="preserve">Cannot Be Considered A Work Made For Hire </w:t>
      </w:r>
      <w:r w:rsidR="00134ED9">
        <w:rPr>
          <w:rFonts w:eastAsia="Times New Roman" w:cs="Times New Roman"/>
          <w:b/>
          <w:szCs w:val="24"/>
        </w:rPr>
        <w:t xml:space="preserve">Under 17 U.S.C. § </w:t>
      </w:r>
      <w:r w:rsidR="00BB014F">
        <w:rPr>
          <w:rFonts w:eastAsia="Times New Roman" w:cs="Times New Roman"/>
          <w:b/>
          <w:szCs w:val="24"/>
        </w:rPr>
        <w:t>101</w:t>
      </w:r>
      <w:r w:rsidR="00733025">
        <w:rPr>
          <w:rFonts w:eastAsia="Times New Roman" w:cs="Times New Roman"/>
          <w:b/>
          <w:szCs w:val="24"/>
        </w:rPr>
        <w:t>.</w:t>
      </w:r>
    </w:p>
    <w:p w14:paraId="1DDBA8C8" w14:textId="77777777" w:rsidR="006E27FE" w:rsidRDefault="006E27FE" w:rsidP="006E27FE">
      <w:pPr>
        <w:pStyle w:val="ListParagraph"/>
        <w:spacing w:line="240" w:lineRule="auto"/>
        <w:rPr>
          <w:rFonts w:eastAsia="Times New Roman" w:cs="Times New Roman"/>
          <w:b/>
          <w:szCs w:val="24"/>
        </w:rPr>
      </w:pPr>
    </w:p>
    <w:p w14:paraId="0EE6BF73" w14:textId="77777777" w:rsidR="006E27FE" w:rsidRDefault="006E27FE" w:rsidP="006E27FE">
      <w:pPr>
        <w:ind w:firstLine="720"/>
        <w:rPr>
          <w:rFonts w:eastAsia="Times New Roman" w:cs="Times New Roman"/>
          <w:szCs w:val="24"/>
        </w:rPr>
      </w:pPr>
      <w:r>
        <w:rPr>
          <w:rFonts w:eastAsia="Times New Roman" w:cs="Times New Roman"/>
          <w:szCs w:val="24"/>
        </w:rPr>
        <w:t xml:space="preserve">OGS alleges that Defendants’ creation, performance, and broadcast of “The Love Below” represent infringement of the copyright that OGS supposedly owns in “Anticipatory Repudiation.”  </w:t>
      </w:r>
      <w:r w:rsidRPr="00617E49">
        <w:rPr>
          <w:rFonts w:eastAsia="Times New Roman" w:cs="Times New Roman"/>
          <w:szCs w:val="24"/>
        </w:rPr>
        <w:t>Pointing to the fact that Lime entered into an oral agreement with Nelson stipulating that Lime’s screenplay was to be considered a work made for hire, OGS argues that the requirements as laid out in 17 U.S.C. § 101 were met, which, as stated in 17 U.S.C. § 201(b), grants OGS all the rights and protections concerning “Anticipatory Repudiation” as recognized by copyright.</w:t>
      </w:r>
    </w:p>
    <w:p w14:paraId="454B5A7F" w14:textId="77777777" w:rsidR="00617E49" w:rsidRPr="00617E49" w:rsidRDefault="006E27FE" w:rsidP="006E27FE">
      <w:pPr>
        <w:rPr>
          <w:rFonts w:eastAsia="Times New Roman" w:cs="Times New Roman"/>
          <w:szCs w:val="24"/>
        </w:rPr>
      </w:pPr>
      <w:r>
        <w:rPr>
          <w:rFonts w:eastAsia="Times New Roman" w:cs="Times New Roman"/>
          <w:szCs w:val="24"/>
        </w:rPr>
        <w:tab/>
        <w:t>Defendants assert</w:t>
      </w:r>
      <w:r w:rsidR="00741130">
        <w:rPr>
          <w:rFonts w:eastAsia="Times New Roman" w:cs="Times New Roman"/>
          <w:szCs w:val="24"/>
        </w:rPr>
        <w:t xml:space="preserve"> through several arguments</w:t>
      </w:r>
      <w:r>
        <w:rPr>
          <w:rFonts w:eastAsia="Times New Roman" w:cs="Times New Roman"/>
          <w:szCs w:val="24"/>
        </w:rPr>
        <w:t xml:space="preserve">, however, that OGS is not legally afforded copyright ownership of “Anticipatory Repudiation” because the requirements set forth in 17 U.S.C. § 101 were not actually met.  </w:t>
      </w:r>
      <w:r w:rsidR="00741130">
        <w:rPr>
          <w:rFonts w:eastAsia="Times New Roman" w:cs="Times New Roman"/>
          <w:szCs w:val="24"/>
        </w:rPr>
        <w:t>First off, t</w:t>
      </w:r>
      <w:r w:rsidRPr="00617E49">
        <w:rPr>
          <w:rFonts w:eastAsia="Times New Roman" w:cs="Times New Roman"/>
          <w:szCs w:val="24"/>
        </w:rPr>
        <w:t>he plain language of the Act requires express written agreement concerning works made for hire, which had not been reached prior to the creation of the work in question.  Even though Lime and Hanson both signed the “Work-Made-For-Hire Agreement” when Lime came to pick up her check, this was done after “Anticipatory Repudiation” was completed and submitted.  The Seventh Circuit has interpreted the relevant sections of the Act as requiring the</w:t>
      </w:r>
      <w:r w:rsidR="00617E49">
        <w:rPr>
          <w:rFonts w:eastAsia="Times New Roman" w:cs="Times New Roman"/>
          <w:szCs w:val="24"/>
        </w:rPr>
        <w:t xml:space="preserve"> execution of a</w:t>
      </w:r>
      <w:r w:rsidRPr="00617E49">
        <w:rPr>
          <w:rFonts w:eastAsia="Times New Roman" w:cs="Times New Roman"/>
          <w:szCs w:val="24"/>
        </w:rPr>
        <w:t xml:space="preserve"> written agreement prior to the</w:t>
      </w:r>
      <w:r w:rsidR="00617E49">
        <w:rPr>
          <w:rFonts w:eastAsia="Times New Roman" w:cs="Times New Roman"/>
          <w:szCs w:val="24"/>
        </w:rPr>
        <w:t xml:space="preserve"> actual</w:t>
      </w:r>
      <w:r w:rsidRPr="00617E49">
        <w:rPr>
          <w:rFonts w:eastAsia="Times New Roman" w:cs="Times New Roman"/>
          <w:szCs w:val="24"/>
        </w:rPr>
        <w:t xml:space="preserve"> creation of </w:t>
      </w:r>
      <w:r w:rsidR="00617E49" w:rsidRPr="00617E49">
        <w:rPr>
          <w:rFonts w:eastAsia="Times New Roman" w:cs="Times New Roman"/>
          <w:szCs w:val="24"/>
        </w:rPr>
        <w:t>a work made for hire, not after.</w:t>
      </w:r>
      <w:r w:rsidR="00617E49">
        <w:rPr>
          <w:rFonts w:eastAsia="Times New Roman" w:cs="Times New Roman"/>
          <w:szCs w:val="24"/>
        </w:rPr>
        <w:t xml:space="preserve">  This notion that the writing come before creation makes practical sense since commissioning a work necessarily precedes creation of a work</w:t>
      </w:r>
      <w:r w:rsidR="00741130">
        <w:rPr>
          <w:rFonts w:eastAsia="Times New Roman" w:cs="Times New Roman"/>
          <w:szCs w:val="24"/>
        </w:rPr>
        <w:t>.  If the parties are required to agree upon a special commission, that agreement must come before work is commenced.</w:t>
      </w:r>
    </w:p>
    <w:p w14:paraId="76DB8B0E" w14:textId="77777777" w:rsidR="006E27FE" w:rsidRDefault="00741130" w:rsidP="00617E49">
      <w:pPr>
        <w:ind w:firstLine="720"/>
        <w:rPr>
          <w:rFonts w:eastAsia="Times New Roman" w:cs="Times New Roman"/>
          <w:szCs w:val="24"/>
        </w:rPr>
      </w:pPr>
      <w:r>
        <w:rPr>
          <w:rFonts w:eastAsia="Times New Roman" w:cs="Times New Roman"/>
          <w:szCs w:val="24"/>
        </w:rPr>
        <w:lastRenderedPageBreak/>
        <w:t>In addition</w:t>
      </w:r>
      <w:r w:rsidR="006E27FE" w:rsidRPr="00617E49">
        <w:rPr>
          <w:rFonts w:eastAsia="Times New Roman" w:cs="Times New Roman"/>
          <w:szCs w:val="24"/>
        </w:rPr>
        <w:t>, had Congress wanted to allow recognition of oral agreements</w:t>
      </w:r>
      <w:r>
        <w:rPr>
          <w:rFonts w:eastAsia="Times New Roman" w:cs="Times New Roman"/>
          <w:szCs w:val="24"/>
        </w:rPr>
        <w:t xml:space="preserve"> or written agreements executed after a work made for hire is created</w:t>
      </w:r>
      <w:r w:rsidR="006E27FE" w:rsidRPr="00617E49">
        <w:rPr>
          <w:rFonts w:eastAsia="Times New Roman" w:cs="Times New Roman"/>
          <w:szCs w:val="24"/>
        </w:rPr>
        <w:t>, they would have amended the statute to do so.</w:t>
      </w:r>
      <w:r w:rsidR="001501B9">
        <w:rPr>
          <w:rFonts w:eastAsia="Times New Roman" w:cs="Times New Roman"/>
          <w:szCs w:val="24"/>
        </w:rPr>
        <w:t xml:space="preserve">  As the sole body responsible for the legislative process, Congress can exercise complete control over exactly what appears in a statute’s language.  </w:t>
      </w:r>
      <w:r w:rsidR="001501B9" w:rsidRPr="00120511">
        <w:rPr>
          <w:rFonts w:eastAsia="Times New Roman" w:cs="Times New Roman"/>
          <w:szCs w:val="24"/>
        </w:rPr>
        <w:t>One of the strongest indictments of Plaintiff’s argument is that Congress, in spending great time and energy in drafting the Act, consciously left out language that would have allowed the writing requirement to be satisfied after the work is completed.  Also, Congress includ</w:t>
      </w:r>
      <w:r w:rsidR="001501B9">
        <w:rPr>
          <w:rFonts w:eastAsia="Times New Roman" w:cs="Times New Roman"/>
          <w:szCs w:val="24"/>
        </w:rPr>
        <w:t xml:space="preserve">ed a separate copyright ownership transfer provision in the Act, one that </w:t>
      </w:r>
      <w:r w:rsidR="006E61FF">
        <w:rPr>
          <w:rFonts w:eastAsia="Times New Roman" w:cs="Times New Roman"/>
          <w:szCs w:val="24"/>
        </w:rPr>
        <w:t>would be rendered redundant by the interpretation advocated by Plaintiff.</w:t>
      </w:r>
    </w:p>
    <w:p w14:paraId="5F729EE1" w14:textId="77777777" w:rsidR="006E27FE" w:rsidRDefault="00741130" w:rsidP="006E27FE">
      <w:pPr>
        <w:ind w:firstLine="720"/>
        <w:rPr>
          <w:rFonts w:eastAsia="Times New Roman" w:cs="Times New Roman"/>
          <w:szCs w:val="24"/>
        </w:rPr>
      </w:pPr>
      <w:r>
        <w:rPr>
          <w:rFonts w:eastAsia="Times New Roman" w:cs="Times New Roman"/>
          <w:szCs w:val="24"/>
        </w:rPr>
        <w:t xml:space="preserve">Policy considerations </w:t>
      </w:r>
      <w:r w:rsidR="006E61FF">
        <w:rPr>
          <w:rFonts w:eastAsia="Times New Roman" w:cs="Times New Roman"/>
          <w:szCs w:val="24"/>
        </w:rPr>
        <w:t>also undergird the requirement of a writing executed prior to a work’s creation.  A strict interpretation of the Act does much to promote bright-line rules in copyright law.  Numerous authorities agree with the notion that one of copyright law’s main priorities ought to be making copyright ownership more predictable and easier to understand.  Requiring pre-creation writings also serves the public economic interest of making intellectual property easier to market</w:t>
      </w:r>
      <w:r w:rsidR="006C3010">
        <w:rPr>
          <w:rFonts w:eastAsia="Times New Roman" w:cs="Times New Roman"/>
          <w:szCs w:val="24"/>
        </w:rPr>
        <w:t xml:space="preserve"> by settling ownership issues early on.  This also protects rightful copyright owners from false claims of ownership agreements.</w:t>
      </w:r>
    </w:p>
    <w:p w14:paraId="4B461540" w14:textId="77777777" w:rsidR="00741130" w:rsidRPr="00741130" w:rsidRDefault="00741130" w:rsidP="006E27FE">
      <w:pPr>
        <w:ind w:firstLine="720"/>
        <w:rPr>
          <w:rFonts w:eastAsia="Times New Roman" w:cs="Times New Roman"/>
          <w:szCs w:val="24"/>
        </w:rPr>
      </w:pPr>
      <w:r>
        <w:rPr>
          <w:rFonts w:eastAsia="Times New Roman" w:cs="Times New Roman"/>
          <w:szCs w:val="24"/>
        </w:rPr>
        <w:t xml:space="preserve">Finally, the </w:t>
      </w:r>
      <w:r w:rsidR="006C3010">
        <w:rPr>
          <w:rFonts w:eastAsia="Times New Roman" w:cs="Times New Roman"/>
          <w:szCs w:val="24"/>
        </w:rPr>
        <w:t>criminal aspects of the Act implicate the rule of lenity, which requires a court to interpret ambiguous l</w:t>
      </w:r>
      <w:r w:rsidR="00BE477F">
        <w:rPr>
          <w:rFonts w:eastAsia="Times New Roman" w:cs="Times New Roman"/>
          <w:szCs w:val="24"/>
        </w:rPr>
        <w:t>aws in favor of the defendant.  Even if the court is unable to choose between the different readings advocated by the opposing parties after examining the Act’s plain meaning, legislative history, and policy issues, the court must give Defendants the benefit of the doubt.  In that situation, still-ambiguous passages must be viewed from the perspective of Defendants.</w:t>
      </w:r>
    </w:p>
    <w:p w14:paraId="5AAA0739" w14:textId="77777777" w:rsidR="00733025" w:rsidRDefault="00733025" w:rsidP="00733025">
      <w:pPr>
        <w:pStyle w:val="ListParagraph"/>
        <w:numPr>
          <w:ilvl w:val="1"/>
          <w:numId w:val="1"/>
        </w:numPr>
        <w:spacing w:line="240" w:lineRule="auto"/>
        <w:rPr>
          <w:rFonts w:eastAsia="Times New Roman" w:cs="Times New Roman"/>
          <w:b/>
          <w:szCs w:val="24"/>
        </w:rPr>
      </w:pPr>
      <w:r w:rsidRPr="00D219F4">
        <w:rPr>
          <w:rFonts w:eastAsia="Times New Roman" w:cs="Times New Roman"/>
          <w:b/>
          <w:szCs w:val="24"/>
        </w:rPr>
        <w:lastRenderedPageBreak/>
        <w:t>The plain languag</w:t>
      </w:r>
      <w:r>
        <w:rPr>
          <w:rFonts w:eastAsia="Times New Roman" w:cs="Times New Roman"/>
          <w:b/>
          <w:szCs w:val="24"/>
        </w:rPr>
        <w:t>e of the Copyright Act of 1976 requires an express written agreement be executed before a work is commenced in order for it to be recognized as one made for hire</w:t>
      </w:r>
      <w:r w:rsidRPr="00D219F4">
        <w:rPr>
          <w:rFonts w:eastAsia="Times New Roman" w:cs="Times New Roman"/>
          <w:b/>
          <w:szCs w:val="24"/>
        </w:rPr>
        <w:t>.</w:t>
      </w:r>
    </w:p>
    <w:p w14:paraId="47E400C8" w14:textId="77777777" w:rsidR="00733025" w:rsidRDefault="00733025" w:rsidP="00733025">
      <w:pPr>
        <w:pStyle w:val="ListParagraph"/>
        <w:spacing w:line="240" w:lineRule="auto"/>
        <w:ind w:left="1440"/>
        <w:rPr>
          <w:rFonts w:eastAsia="Times New Roman" w:cs="Times New Roman"/>
          <w:b/>
          <w:szCs w:val="24"/>
        </w:rPr>
      </w:pPr>
    </w:p>
    <w:p w14:paraId="10FEC1CA" w14:textId="77777777" w:rsidR="001A73EB" w:rsidRDefault="006E27FE" w:rsidP="001A73EB">
      <w:pPr>
        <w:ind w:firstLine="720"/>
        <w:rPr>
          <w:rFonts w:eastAsia="Times New Roman" w:cs="Times New Roman"/>
          <w:szCs w:val="24"/>
        </w:rPr>
      </w:pPr>
      <w:r>
        <w:rPr>
          <w:rFonts w:eastAsia="Times New Roman" w:cs="Times New Roman"/>
          <w:szCs w:val="24"/>
        </w:rPr>
        <w:t>I</w:t>
      </w:r>
      <w:r w:rsidR="001A73EB">
        <w:rPr>
          <w:rFonts w:eastAsia="Times New Roman" w:cs="Times New Roman"/>
          <w:szCs w:val="24"/>
        </w:rPr>
        <w:t>n interpreting statutory language, courts should first look to the plain meaning of the pertinent provisions.  The most significant provision of the Act in terms of this discussion is 17 U.S.C. § 101, which lays out the definitions to be considered for copyright issues.  The statute provides that a work made for hire is “a work specially ordered or commissioned for use as a contribution to a collective work</w:t>
      </w:r>
      <w:r w:rsidR="00450F12">
        <w:rPr>
          <w:rFonts w:eastAsia="Times New Roman" w:cs="Times New Roman"/>
          <w:szCs w:val="24"/>
        </w:rPr>
        <w:t xml:space="preserve"> . . . </w:t>
      </w:r>
      <w:r w:rsidR="001457FF">
        <w:rPr>
          <w:rFonts w:eastAsia="Times New Roman" w:cs="Times New Roman"/>
          <w:szCs w:val="24"/>
        </w:rPr>
        <w:t xml:space="preserve">if </w:t>
      </w:r>
      <w:r w:rsidR="001A73EB">
        <w:rPr>
          <w:rFonts w:eastAsia="Times New Roman" w:cs="Times New Roman"/>
          <w:szCs w:val="24"/>
        </w:rPr>
        <w:t>the parties expressly agree in a written instrument signed by them that the work shall be considered a work made for hire.”  17 U.S.C. § 101</w:t>
      </w:r>
      <w:r w:rsidR="00587906">
        <w:rPr>
          <w:rFonts w:eastAsia="Times New Roman" w:cs="Times New Roman"/>
          <w:szCs w:val="24"/>
        </w:rPr>
        <w:t>.  Additionally, the statute recognizes that in works made for hire, the person for whom the work was made is considered the owner of the copyright.  17 U.S.C. § 201(b).</w:t>
      </w:r>
    </w:p>
    <w:p w14:paraId="185D20A7" w14:textId="77777777" w:rsidR="00733025" w:rsidRDefault="00587906" w:rsidP="00733025">
      <w:pPr>
        <w:ind w:firstLine="720"/>
        <w:rPr>
          <w:rFonts w:eastAsia="Times New Roman" w:cs="Times New Roman"/>
          <w:szCs w:val="24"/>
        </w:rPr>
      </w:pPr>
      <w:r>
        <w:rPr>
          <w:rFonts w:eastAsia="Times New Roman" w:cs="Times New Roman"/>
          <w:szCs w:val="24"/>
        </w:rPr>
        <w:t>It is evident from this specific language that in order for a work to be considered made for hire, the parties involved must execute a written agreement</w:t>
      </w:r>
      <w:r w:rsidR="00D93DA9">
        <w:rPr>
          <w:rFonts w:eastAsia="Times New Roman" w:cs="Times New Roman"/>
          <w:szCs w:val="24"/>
        </w:rPr>
        <w:t>, not an oral one</w:t>
      </w:r>
      <w:r>
        <w:rPr>
          <w:rFonts w:eastAsia="Times New Roman" w:cs="Times New Roman"/>
          <w:szCs w:val="24"/>
        </w:rPr>
        <w:t xml:space="preserve">.  Additionally, the agreement must be signed by both parties.  At no point within the statutory provisions is there any official recognition of oral agreements.  </w:t>
      </w:r>
      <w:r w:rsidR="00B86213">
        <w:rPr>
          <w:rFonts w:eastAsia="Times New Roman" w:cs="Times New Roman"/>
          <w:szCs w:val="24"/>
        </w:rPr>
        <w:t xml:space="preserve">Although Nelson and Lime did come to an oral agreement </w:t>
      </w:r>
      <w:r w:rsidR="00E91FB4">
        <w:rPr>
          <w:rFonts w:eastAsia="Times New Roman" w:cs="Times New Roman"/>
          <w:szCs w:val="24"/>
        </w:rPr>
        <w:t xml:space="preserve">at their March 2010 meeting, this agreement </w:t>
      </w:r>
      <w:r w:rsidR="00E32745">
        <w:rPr>
          <w:rFonts w:eastAsia="Times New Roman" w:cs="Times New Roman"/>
          <w:szCs w:val="24"/>
        </w:rPr>
        <w:t xml:space="preserve">alone </w:t>
      </w:r>
      <w:r w:rsidR="00E91FB4">
        <w:rPr>
          <w:rFonts w:eastAsia="Times New Roman" w:cs="Times New Roman"/>
          <w:szCs w:val="24"/>
        </w:rPr>
        <w:t>simply does not satisfy the statutory requirements because it</w:t>
      </w:r>
      <w:r w:rsidR="00B86213" w:rsidRPr="00E91FB4">
        <w:rPr>
          <w:rFonts w:eastAsia="Times New Roman" w:cs="Times New Roman"/>
          <w:szCs w:val="24"/>
        </w:rPr>
        <w:t xml:space="preserve"> was not memorialized in writing.</w:t>
      </w:r>
      <w:r w:rsidR="006E27FE" w:rsidRPr="00E91FB4">
        <w:rPr>
          <w:rFonts w:eastAsia="Times New Roman" w:cs="Times New Roman"/>
          <w:szCs w:val="24"/>
        </w:rPr>
        <w:t xml:space="preserve">  </w:t>
      </w:r>
    </w:p>
    <w:p w14:paraId="47BA57F8" w14:textId="77777777" w:rsidR="00BA184F" w:rsidRDefault="00E32745" w:rsidP="00733025">
      <w:pPr>
        <w:ind w:firstLine="720"/>
        <w:rPr>
          <w:rFonts w:eastAsia="Times New Roman" w:cs="Times New Roman"/>
          <w:szCs w:val="24"/>
        </w:rPr>
      </w:pPr>
      <w:r>
        <w:rPr>
          <w:rFonts w:eastAsia="Times New Roman" w:cs="Times New Roman"/>
          <w:szCs w:val="24"/>
        </w:rPr>
        <w:t>After “Anticipatory Repudiation” was submitted to OGS</w:t>
      </w:r>
      <w:r w:rsidR="00E91FB4">
        <w:rPr>
          <w:rFonts w:eastAsia="Times New Roman" w:cs="Times New Roman"/>
          <w:szCs w:val="24"/>
        </w:rPr>
        <w:t xml:space="preserve">, Nelson and Lime did execute a written agreement.  </w:t>
      </w:r>
      <w:r w:rsidR="00B86213">
        <w:rPr>
          <w:rFonts w:eastAsia="Times New Roman" w:cs="Times New Roman"/>
          <w:szCs w:val="24"/>
        </w:rPr>
        <w:t>There is ambiguity in the statutory provisions, however, when it comes to defining the timi</w:t>
      </w:r>
      <w:r w:rsidR="00120511">
        <w:rPr>
          <w:rFonts w:eastAsia="Times New Roman" w:cs="Times New Roman"/>
          <w:szCs w:val="24"/>
        </w:rPr>
        <w:t xml:space="preserve">ng of the </w:t>
      </w:r>
      <w:r w:rsidR="00B86213">
        <w:rPr>
          <w:rFonts w:eastAsia="Times New Roman" w:cs="Times New Roman"/>
          <w:szCs w:val="24"/>
        </w:rPr>
        <w:t>written agreement.  Although 17 U.S.C. § 101 requires a written agreement, there is no explicit mention of exactly when that agreement must be exe</w:t>
      </w:r>
      <w:r w:rsidR="001457FF">
        <w:rPr>
          <w:rFonts w:eastAsia="Times New Roman" w:cs="Times New Roman"/>
          <w:szCs w:val="24"/>
        </w:rPr>
        <w:t>cuted in order to take effect.</w:t>
      </w:r>
    </w:p>
    <w:p w14:paraId="52CDB2DD" w14:textId="77777777" w:rsidR="001457FF" w:rsidRDefault="001457FF" w:rsidP="00733025">
      <w:pPr>
        <w:ind w:firstLine="720"/>
        <w:rPr>
          <w:rFonts w:eastAsia="Times New Roman" w:cs="Times New Roman"/>
          <w:szCs w:val="24"/>
        </w:rPr>
      </w:pPr>
      <w:r w:rsidRPr="00E91FB4">
        <w:rPr>
          <w:rFonts w:eastAsia="Times New Roman" w:cs="Times New Roman"/>
          <w:szCs w:val="24"/>
        </w:rPr>
        <w:t>Admittedly, there is a federal circuit split on the issue of when the writing requirement must be met.  The Second Circuit h</w:t>
      </w:r>
      <w:r w:rsidR="00120511">
        <w:rPr>
          <w:rFonts w:eastAsia="Times New Roman" w:cs="Times New Roman"/>
          <w:szCs w:val="24"/>
        </w:rPr>
        <w:t>as taken a more flexible stance</w:t>
      </w:r>
      <w:r w:rsidRPr="00E91FB4">
        <w:rPr>
          <w:rFonts w:eastAsia="Times New Roman" w:cs="Times New Roman"/>
          <w:szCs w:val="24"/>
        </w:rPr>
        <w:t xml:space="preserve">, stating that if a writing </w:t>
      </w:r>
      <w:r w:rsidR="00E32745">
        <w:rPr>
          <w:rFonts w:eastAsia="Times New Roman" w:cs="Times New Roman"/>
          <w:szCs w:val="24"/>
        </w:rPr>
        <w:t xml:space="preserve">is </w:t>
      </w:r>
      <w:r w:rsidRPr="00E91FB4">
        <w:rPr>
          <w:rFonts w:eastAsia="Times New Roman" w:cs="Times New Roman"/>
          <w:szCs w:val="24"/>
        </w:rPr>
        <w:lastRenderedPageBreak/>
        <w:t xml:space="preserve">executed after a work has commenced, it can be judged to meet the writing requirement if it confirms an earlier agreement.  </w:t>
      </w:r>
      <w:r w:rsidRPr="00E91FB4">
        <w:rPr>
          <w:rFonts w:eastAsia="Times New Roman" w:cs="Times New Roman"/>
          <w:i/>
          <w:szCs w:val="24"/>
        </w:rPr>
        <w:t>Playboy Enters. v. Dumas</w:t>
      </w:r>
      <w:r w:rsidRPr="00E91FB4">
        <w:rPr>
          <w:rFonts w:eastAsia="Times New Roman" w:cs="Times New Roman"/>
          <w:szCs w:val="24"/>
        </w:rPr>
        <w:t xml:space="preserve">, 53 F.3d 549 (2d Cir. 1995).  The Seventh Circuit, however, takes a strict approach, arguing that a writing must precede the commencement of the work in order to be considered.  </w:t>
      </w:r>
      <w:r w:rsidRPr="00E91FB4">
        <w:rPr>
          <w:rFonts w:eastAsia="Times New Roman" w:cs="Times New Roman"/>
          <w:i/>
          <w:szCs w:val="24"/>
        </w:rPr>
        <w:t>Schiller &amp; Schmidt, Inc. v. Nordisco Corp.</w:t>
      </w:r>
      <w:r w:rsidRPr="00E91FB4">
        <w:rPr>
          <w:rFonts w:eastAsia="Times New Roman" w:cs="Times New Roman"/>
          <w:szCs w:val="24"/>
        </w:rPr>
        <w:t xml:space="preserve">, 969 F.2d 410 (7th Cir. 1992).  The Supreme Court is silent on this dispute, as it has “den[ied] certiorari when given the opportunity.”  Carolyn M. Salzmann, </w:t>
      </w:r>
      <w:r w:rsidRPr="00E91FB4">
        <w:rPr>
          <w:rFonts w:eastAsia="Times New Roman" w:cs="Times New Roman"/>
          <w:i/>
          <w:szCs w:val="24"/>
        </w:rPr>
        <w:t>You Commissioned It, You Bought It, But Do You Own It?  The Work for Hire:  Why is Something So Simple, So Complicated?</w:t>
      </w:r>
      <w:r w:rsidRPr="00E91FB4">
        <w:rPr>
          <w:rFonts w:eastAsia="Times New Roman" w:cs="Times New Roman"/>
          <w:szCs w:val="24"/>
        </w:rPr>
        <w:t>, 31 U. Tol. L. Rev. 497, 515 (2000).</w:t>
      </w:r>
    </w:p>
    <w:p w14:paraId="3853A619" w14:textId="77777777" w:rsidR="0056704C" w:rsidRDefault="00E32745" w:rsidP="00B86213">
      <w:pPr>
        <w:ind w:firstLine="720"/>
        <w:rPr>
          <w:rFonts w:eastAsia="Times New Roman" w:cs="Times New Roman"/>
          <w:szCs w:val="24"/>
        </w:rPr>
      </w:pPr>
      <w:r>
        <w:rPr>
          <w:rFonts w:eastAsia="Times New Roman" w:cs="Times New Roman"/>
          <w:szCs w:val="24"/>
        </w:rPr>
        <w:t xml:space="preserve">The Seventh Circuit’s logic is more compelling, however.  </w:t>
      </w:r>
      <w:r w:rsidR="00BE0B2C">
        <w:rPr>
          <w:rFonts w:eastAsia="Times New Roman" w:cs="Times New Roman"/>
          <w:szCs w:val="24"/>
        </w:rPr>
        <w:t xml:space="preserve">In </w:t>
      </w:r>
      <w:r w:rsidR="00BE0B2C">
        <w:rPr>
          <w:rFonts w:eastAsia="Times New Roman" w:cs="Times New Roman"/>
          <w:i/>
          <w:szCs w:val="24"/>
        </w:rPr>
        <w:t xml:space="preserve">Schiller </w:t>
      </w:r>
      <w:r w:rsidR="00BE0B2C" w:rsidRPr="0056704C">
        <w:rPr>
          <w:rFonts w:eastAsia="Times New Roman" w:cs="Times New Roman"/>
          <w:i/>
          <w:szCs w:val="24"/>
        </w:rPr>
        <w:t>&amp; Schmidt</w:t>
      </w:r>
      <w:r w:rsidR="00BE0B2C">
        <w:rPr>
          <w:rFonts w:eastAsia="Times New Roman" w:cs="Times New Roman"/>
          <w:szCs w:val="24"/>
        </w:rPr>
        <w:t>, 969 F.2d at 410, the Seventh Circuit i</w:t>
      </w:r>
      <w:r w:rsidR="00BA184F">
        <w:rPr>
          <w:rFonts w:eastAsia="Times New Roman" w:cs="Times New Roman"/>
          <w:szCs w:val="24"/>
        </w:rPr>
        <w:t xml:space="preserve">nterpreted the whole of the Act as requiring a written agreement </w:t>
      </w:r>
      <w:r w:rsidR="00D93DA9">
        <w:rPr>
          <w:rFonts w:eastAsia="Times New Roman" w:cs="Times New Roman"/>
          <w:szCs w:val="24"/>
        </w:rPr>
        <w:t xml:space="preserve">to </w:t>
      </w:r>
      <w:r w:rsidR="00BA184F">
        <w:rPr>
          <w:rFonts w:eastAsia="Times New Roman" w:cs="Times New Roman"/>
          <w:szCs w:val="24"/>
        </w:rPr>
        <w:t xml:space="preserve">be executed prior to </w:t>
      </w:r>
      <w:r w:rsidR="00BE0B2C">
        <w:rPr>
          <w:rFonts w:eastAsia="Times New Roman" w:cs="Times New Roman"/>
          <w:szCs w:val="24"/>
        </w:rPr>
        <w:t xml:space="preserve">the creation of a work made for hire in order to satisfy the statute.  </w:t>
      </w:r>
      <w:r w:rsidR="0056704C">
        <w:rPr>
          <w:rFonts w:eastAsia="Times New Roman" w:cs="Times New Roman"/>
          <w:szCs w:val="24"/>
        </w:rPr>
        <w:t xml:space="preserve">In that case, which involved photographs taken to illustrate an office supply catalog, a written agreement was signed long after the photographs had been taken and used.  </w:t>
      </w:r>
      <w:r w:rsidR="0056704C">
        <w:rPr>
          <w:rFonts w:eastAsia="Times New Roman" w:cs="Times New Roman"/>
          <w:i/>
          <w:szCs w:val="24"/>
        </w:rPr>
        <w:t>Id</w:t>
      </w:r>
      <w:r w:rsidR="0056704C">
        <w:rPr>
          <w:rFonts w:eastAsia="Times New Roman" w:cs="Times New Roman"/>
          <w:szCs w:val="24"/>
        </w:rPr>
        <w:t>.  Citing the necessity of clarifying copyright law, the court stated</w:t>
      </w:r>
      <w:r w:rsidR="00450F12">
        <w:rPr>
          <w:rFonts w:eastAsia="Times New Roman" w:cs="Times New Roman"/>
          <w:szCs w:val="24"/>
        </w:rPr>
        <w:t xml:space="preserve">, </w:t>
      </w:r>
      <w:r w:rsidR="0056704C">
        <w:rPr>
          <w:rFonts w:eastAsia="Times New Roman" w:cs="Times New Roman"/>
          <w:szCs w:val="24"/>
        </w:rPr>
        <w:t>“</w:t>
      </w:r>
      <w:r w:rsidR="00AA0D0B">
        <w:rPr>
          <w:rFonts w:eastAsia="Times New Roman" w:cs="Times New Roman"/>
          <w:szCs w:val="24"/>
        </w:rPr>
        <w:t>[t]</w:t>
      </w:r>
      <w:r w:rsidR="0056704C">
        <w:rPr>
          <w:rFonts w:eastAsia="Times New Roman" w:cs="Times New Roman"/>
          <w:szCs w:val="24"/>
        </w:rPr>
        <w:t xml:space="preserve">he writing must precede the creation of the property in order to serve its purpose of identifying the (noncreator) owner unequivocally.”  </w:t>
      </w:r>
      <w:r w:rsidR="0056704C">
        <w:rPr>
          <w:rFonts w:eastAsia="Times New Roman" w:cs="Times New Roman"/>
          <w:i/>
          <w:szCs w:val="24"/>
        </w:rPr>
        <w:t>Id</w:t>
      </w:r>
      <w:r w:rsidR="0056704C">
        <w:rPr>
          <w:rFonts w:eastAsia="Times New Roman" w:cs="Times New Roman"/>
          <w:szCs w:val="24"/>
        </w:rPr>
        <w:t xml:space="preserve">, at 413. </w:t>
      </w:r>
    </w:p>
    <w:p w14:paraId="7C17D070" w14:textId="77777777" w:rsidR="0062719D" w:rsidRDefault="008F67E1" w:rsidP="00E32745">
      <w:pPr>
        <w:ind w:firstLine="720"/>
        <w:rPr>
          <w:rFonts w:eastAsia="Times New Roman" w:cs="Times New Roman"/>
          <w:szCs w:val="24"/>
        </w:rPr>
      </w:pPr>
      <w:r>
        <w:rPr>
          <w:rFonts w:eastAsia="Times New Roman" w:cs="Times New Roman"/>
          <w:szCs w:val="24"/>
        </w:rPr>
        <w:t xml:space="preserve">This is an argument that is largely agreed with by Plaintiff’s primary case authority.  In </w:t>
      </w:r>
      <w:r>
        <w:rPr>
          <w:rFonts w:eastAsia="Times New Roman" w:cs="Times New Roman"/>
          <w:i/>
          <w:szCs w:val="24"/>
        </w:rPr>
        <w:t>Playboy</w:t>
      </w:r>
      <w:r>
        <w:rPr>
          <w:rFonts w:eastAsia="Times New Roman" w:cs="Times New Roman"/>
          <w:szCs w:val="24"/>
        </w:rPr>
        <w:t xml:space="preserve">, 53 F.3d at 549, the Second Circuit </w:t>
      </w:r>
      <w:r w:rsidRPr="00E32745">
        <w:rPr>
          <w:rFonts w:eastAsia="Times New Roman" w:cs="Times New Roman"/>
          <w:szCs w:val="24"/>
        </w:rPr>
        <w:t>mentions that it “agree[s] with the Seventh Circuit that the writing requirement was created, in part, to make the ownership of intellectual property rights clear and definite.”</w:t>
      </w:r>
      <w:r w:rsidR="0062719D" w:rsidRPr="00E32745">
        <w:rPr>
          <w:rFonts w:eastAsia="Times New Roman" w:cs="Times New Roman"/>
          <w:szCs w:val="24"/>
        </w:rPr>
        <w:t xml:space="preserve">  </w:t>
      </w:r>
      <w:r w:rsidR="00921B0A" w:rsidRPr="00E32745">
        <w:rPr>
          <w:rFonts w:eastAsia="Times New Roman" w:cs="Times New Roman"/>
          <w:i/>
          <w:szCs w:val="24"/>
        </w:rPr>
        <w:t>Id</w:t>
      </w:r>
      <w:r w:rsidR="00B14CD1" w:rsidRPr="00E32745">
        <w:rPr>
          <w:rFonts w:eastAsia="Times New Roman" w:cs="Times New Roman"/>
          <w:szCs w:val="24"/>
        </w:rPr>
        <w:t xml:space="preserve">, </w:t>
      </w:r>
      <w:r w:rsidR="00921B0A" w:rsidRPr="00E32745">
        <w:rPr>
          <w:rFonts w:eastAsia="Times New Roman" w:cs="Times New Roman"/>
          <w:szCs w:val="24"/>
        </w:rPr>
        <w:t xml:space="preserve">at </w:t>
      </w:r>
      <w:r w:rsidR="00B14CD1" w:rsidRPr="00E32745">
        <w:rPr>
          <w:rFonts w:eastAsia="Times New Roman" w:cs="Times New Roman"/>
          <w:szCs w:val="24"/>
        </w:rPr>
        <w:t xml:space="preserve">559.  The </w:t>
      </w:r>
      <w:r w:rsidR="00B14CD1" w:rsidRPr="00E32745">
        <w:rPr>
          <w:rFonts w:eastAsia="Times New Roman" w:cs="Times New Roman"/>
          <w:i/>
          <w:szCs w:val="24"/>
        </w:rPr>
        <w:t>Playboy</w:t>
      </w:r>
      <w:r w:rsidR="00B14CD1" w:rsidRPr="00E32745">
        <w:rPr>
          <w:rFonts w:eastAsia="Times New Roman" w:cs="Times New Roman"/>
          <w:szCs w:val="24"/>
        </w:rPr>
        <w:t xml:space="preserve"> court</w:t>
      </w:r>
      <w:r w:rsidR="00B14CD1">
        <w:rPr>
          <w:rFonts w:eastAsia="Times New Roman" w:cs="Times New Roman"/>
          <w:szCs w:val="24"/>
        </w:rPr>
        <w:t xml:space="preserve"> comes to a different overall conclusion, but it clearly endorses the reasoning proffered by the Seventh Circuit.</w:t>
      </w:r>
    </w:p>
    <w:p w14:paraId="38A46434" w14:textId="77777777" w:rsidR="00D20E82" w:rsidRDefault="00D20E82" w:rsidP="00B86213">
      <w:pPr>
        <w:ind w:firstLine="720"/>
        <w:rPr>
          <w:rFonts w:eastAsia="Times New Roman" w:cs="Times New Roman"/>
          <w:szCs w:val="24"/>
        </w:rPr>
      </w:pPr>
      <w:r>
        <w:rPr>
          <w:rFonts w:eastAsia="Times New Roman" w:cs="Times New Roman"/>
          <w:szCs w:val="24"/>
        </w:rPr>
        <w:t xml:space="preserve">Additionally, the Seventh Circuit’s view has gained traction in at least one other federal circuit.  In </w:t>
      </w:r>
      <w:r>
        <w:rPr>
          <w:rFonts w:eastAsia="Times New Roman" w:cs="Times New Roman"/>
          <w:i/>
          <w:szCs w:val="24"/>
        </w:rPr>
        <w:t>Gladwell Gov’t Servs., Inc. v. Cnty. of Marin</w:t>
      </w:r>
      <w:r>
        <w:rPr>
          <w:rFonts w:eastAsia="Times New Roman" w:cs="Times New Roman"/>
          <w:szCs w:val="24"/>
        </w:rPr>
        <w:t xml:space="preserve">, which dealt with a copyright claim </w:t>
      </w:r>
      <w:r>
        <w:rPr>
          <w:rFonts w:eastAsia="Times New Roman" w:cs="Times New Roman"/>
          <w:szCs w:val="24"/>
        </w:rPr>
        <w:lastRenderedPageBreak/>
        <w:t>between a county and a contractor, the court acknowledged 17 U.S.C. § 101 by arguing</w:t>
      </w:r>
      <w:r w:rsidR="00AA0D0B">
        <w:rPr>
          <w:rFonts w:eastAsia="Times New Roman" w:cs="Times New Roman"/>
          <w:szCs w:val="24"/>
        </w:rPr>
        <w:t>,</w:t>
      </w:r>
      <w:r>
        <w:rPr>
          <w:rFonts w:eastAsia="Times New Roman" w:cs="Times New Roman"/>
          <w:szCs w:val="24"/>
        </w:rPr>
        <w:t xml:space="preserve"> “[t]he plain language of the statute indicates that a work-for-hire agreement cannot apply to works that are already in existence.  Works ‘specially ordered or commissioned’ can only be made </w:t>
      </w:r>
      <w:r>
        <w:rPr>
          <w:rFonts w:eastAsia="Times New Roman" w:cs="Times New Roman"/>
          <w:i/>
          <w:szCs w:val="24"/>
        </w:rPr>
        <w:t>after</w:t>
      </w:r>
      <w:r>
        <w:rPr>
          <w:rFonts w:eastAsia="Times New Roman" w:cs="Times New Roman"/>
          <w:szCs w:val="24"/>
        </w:rPr>
        <w:t xml:space="preserve"> the execution of an express agreement between the parties.”  265 Fed.Appx. 624, 626 (9th Cir. 2008).</w:t>
      </w:r>
      <w:r w:rsidR="00120511">
        <w:rPr>
          <w:rFonts w:eastAsia="Times New Roman" w:cs="Times New Roman"/>
          <w:szCs w:val="24"/>
        </w:rPr>
        <w:t xml:space="preserve">  Specially commissioning a work logically precedes the work itself, so if parties are required to memorialize their agreement of a commission, it </w:t>
      </w:r>
      <w:r w:rsidR="00AA0D0B">
        <w:rPr>
          <w:rFonts w:eastAsia="Times New Roman" w:cs="Times New Roman"/>
          <w:szCs w:val="24"/>
        </w:rPr>
        <w:t>must necessarily come</w:t>
      </w:r>
      <w:r w:rsidR="00120511">
        <w:rPr>
          <w:rFonts w:eastAsia="Times New Roman" w:cs="Times New Roman"/>
          <w:szCs w:val="24"/>
        </w:rPr>
        <w:t xml:space="preserve"> before the commissioned work is completed.</w:t>
      </w:r>
    </w:p>
    <w:p w14:paraId="15A50120" w14:textId="77777777" w:rsidR="00B14CD1" w:rsidRPr="00D223A7" w:rsidRDefault="00E32745" w:rsidP="00B86213">
      <w:pPr>
        <w:ind w:firstLine="720"/>
        <w:rPr>
          <w:rFonts w:eastAsia="Times New Roman" w:cs="Times New Roman"/>
          <w:szCs w:val="24"/>
        </w:rPr>
      </w:pPr>
      <w:r w:rsidRPr="00E32745">
        <w:rPr>
          <w:rFonts w:eastAsia="Times New Roman" w:cs="Times New Roman"/>
          <w:szCs w:val="24"/>
        </w:rPr>
        <w:t>It may be easy for one to argue</w:t>
      </w:r>
      <w:r w:rsidR="00B14CD1" w:rsidRPr="00E32745">
        <w:rPr>
          <w:rFonts w:eastAsia="Times New Roman" w:cs="Times New Roman"/>
          <w:szCs w:val="24"/>
        </w:rPr>
        <w:t xml:space="preserve"> that the more recent decision produced by the </w:t>
      </w:r>
      <w:r w:rsidR="00B14CD1" w:rsidRPr="00E32745">
        <w:rPr>
          <w:rFonts w:eastAsia="Times New Roman" w:cs="Times New Roman"/>
          <w:i/>
          <w:szCs w:val="24"/>
        </w:rPr>
        <w:t xml:space="preserve">Playboy </w:t>
      </w:r>
      <w:r w:rsidR="00B14CD1" w:rsidRPr="00E32745">
        <w:rPr>
          <w:rFonts w:eastAsia="Times New Roman" w:cs="Times New Roman"/>
          <w:szCs w:val="24"/>
        </w:rPr>
        <w:t>court</w:t>
      </w:r>
      <w:r w:rsidRPr="00E32745">
        <w:rPr>
          <w:rFonts w:eastAsia="Times New Roman" w:cs="Times New Roman"/>
          <w:szCs w:val="24"/>
        </w:rPr>
        <w:t xml:space="preserve"> ought to</w:t>
      </w:r>
      <w:r w:rsidR="00B14CD1" w:rsidRPr="00E32745">
        <w:rPr>
          <w:rFonts w:eastAsia="Times New Roman" w:cs="Times New Roman"/>
          <w:szCs w:val="24"/>
        </w:rPr>
        <w:t xml:space="preserve"> trump the argument of </w:t>
      </w:r>
      <w:r w:rsidR="00B14CD1" w:rsidRPr="00E32745">
        <w:rPr>
          <w:rFonts w:eastAsia="Times New Roman" w:cs="Times New Roman"/>
          <w:i/>
          <w:szCs w:val="24"/>
        </w:rPr>
        <w:t xml:space="preserve">Schiller &amp; </w:t>
      </w:r>
      <w:r w:rsidR="00D223A7" w:rsidRPr="00E32745">
        <w:rPr>
          <w:rFonts w:eastAsia="Times New Roman" w:cs="Times New Roman"/>
          <w:i/>
          <w:szCs w:val="24"/>
        </w:rPr>
        <w:t>Schmidt</w:t>
      </w:r>
      <w:r w:rsidR="00B14CD1" w:rsidRPr="00E32745">
        <w:rPr>
          <w:rFonts w:eastAsia="Times New Roman" w:cs="Times New Roman"/>
          <w:szCs w:val="24"/>
        </w:rPr>
        <w:t>.  It should be noted</w:t>
      </w:r>
      <w:r w:rsidR="00B14CD1">
        <w:rPr>
          <w:rFonts w:eastAsia="Times New Roman" w:cs="Times New Roman"/>
          <w:szCs w:val="24"/>
        </w:rPr>
        <w:t xml:space="preserve">, however, that the </w:t>
      </w:r>
      <w:r w:rsidR="00B14CD1">
        <w:rPr>
          <w:rFonts w:eastAsia="Times New Roman" w:cs="Times New Roman"/>
          <w:i/>
          <w:szCs w:val="24"/>
        </w:rPr>
        <w:t>Schiller &amp; Schmidt</w:t>
      </w:r>
      <w:r w:rsidR="00B14CD1">
        <w:rPr>
          <w:rFonts w:eastAsia="Times New Roman" w:cs="Times New Roman"/>
          <w:szCs w:val="24"/>
        </w:rPr>
        <w:t xml:space="preserve"> reasoning </w:t>
      </w:r>
      <w:r w:rsidR="00B14CD1" w:rsidRPr="005E0A4D">
        <w:rPr>
          <w:rFonts w:eastAsia="Times New Roman" w:cs="Times New Roman"/>
          <w:szCs w:val="24"/>
        </w:rPr>
        <w:t xml:space="preserve">has </w:t>
      </w:r>
      <w:r w:rsidR="00450F12" w:rsidRPr="005E0A4D">
        <w:rPr>
          <w:rFonts w:eastAsia="Times New Roman" w:cs="Times New Roman"/>
          <w:szCs w:val="24"/>
        </w:rPr>
        <w:t>not been forgotten</w:t>
      </w:r>
      <w:r w:rsidR="00450F12">
        <w:rPr>
          <w:rFonts w:eastAsia="Times New Roman" w:cs="Times New Roman"/>
          <w:szCs w:val="24"/>
        </w:rPr>
        <w:t xml:space="preserve"> in the years</w:t>
      </w:r>
      <w:r w:rsidR="00B14CD1">
        <w:rPr>
          <w:rFonts w:eastAsia="Times New Roman" w:cs="Times New Roman"/>
          <w:szCs w:val="24"/>
        </w:rPr>
        <w:t xml:space="preserve"> since.  </w:t>
      </w:r>
      <w:r w:rsidR="00B14CD1">
        <w:rPr>
          <w:rFonts w:eastAsia="Times New Roman" w:cs="Times New Roman"/>
          <w:i/>
          <w:szCs w:val="24"/>
        </w:rPr>
        <w:t>See</w:t>
      </w:r>
      <w:r w:rsidR="00450F12">
        <w:rPr>
          <w:rFonts w:eastAsia="Times New Roman" w:cs="Times New Roman"/>
          <w:i/>
          <w:szCs w:val="24"/>
        </w:rPr>
        <w:t>, e.g.,</w:t>
      </w:r>
      <w:r w:rsidR="00D223A7">
        <w:rPr>
          <w:rFonts w:eastAsia="Times New Roman" w:cs="Times New Roman"/>
          <w:i/>
          <w:szCs w:val="24"/>
        </w:rPr>
        <w:t xml:space="preserve"> Int’l Code Council, Inc. v. Nat’l Fire Prot. Ass’n, Inc.</w:t>
      </w:r>
      <w:r w:rsidR="00D223A7">
        <w:rPr>
          <w:rFonts w:eastAsia="Times New Roman" w:cs="Times New Roman"/>
          <w:szCs w:val="24"/>
        </w:rPr>
        <w:t xml:space="preserve">, 2006 WL 850879 (N.D. Ill. 2006); </w:t>
      </w:r>
      <w:r w:rsidR="00D223A7">
        <w:rPr>
          <w:rFonts w:eastAsia="Times New Roman" w:cs="Times New Roman"/>
          <w:i/>
          <w:szCs w:val="24"/>
        </w:rPr>
        <w:t>Natkin v. Winfrey</w:t>
      </w:r>
      <w:r w:rsidR="00D223A7">
        <w:rPr>
          <w:rFonts w:eastAsia="Times New Roman" w:cs="Times New Roman"/>
          <w:szCs w:val="24"/>
        </w:rPr>
        <w:t xml:space="preserve">, 111 F.Supp.2d 1003 (N.D. Ill. 2000); </w:t>
      </w:r>
      <w:r w:rsidR="00D223A7">
        <w:rPr>
          <w:rFonts w:eastAsia="Times New Roman" w:cs="Times New Roman"/>
          <w:i/>
          <w:szCs w:val="24"/>
        </w:rPr>
        <w:t>Glovaroma, Inc. v. Maljack Prods., Inc.</w:t>
      </w:r>
      <w:r w:rsidR="00D223A7">
        <w:rPr>
          <w:rFonts w:eastAsia="Times New Roman" w:cs="Times New Roman"/>
          <w:szCs w:val="24"/>
        </w:rPr>
        <w:t xml:space="preserve">, 71 F.Supp.2d 846 (N.D. Ill. 1999); </w:t>
      </w:r>
      <w:r w:rsidR="00D223A7">
        <w:rPr>
          <w:rFonts w:eastAsia="Times New Roman" w:cs="Times New Roman"/>
          <w:i/>
          <w:szCs w:val="24"/>
        </w:rPr>
        <w:t>Rubloff Inc. v. Donahue</w:t>
      </w:r>
      <w:r w:rsidR="00D223A7">
        <w:rPr>
          <w:rFonts w:eastAsia="Times New Roman" w:cs="Times New Roman"/>
          <w:szCs w:val="24"/>
        </w:rPr>
        <w:t>, 1994 WL 161098 (N.D. Ill. 1994).</w:t>
      </w:r>
    </w:p>
    <w:p w14:paraId="7628E11E" w14:textId="77777777" w:rsidR="00F54D8C" w:rsidRDefault="00AC115C" w:rsidP="00FD09B8">
      <w:pPr>
        <w:pStyle w:val="ListParagraph"/>
        <w:numPr>
          <w:ilvl w:val="1"/>
          <w:numId w:val="1"/>
        </w:numPr>
        <w:spacing w:line="240" w:lineRule="auto"/>
        <w:rPr>
          <w:rFonts w:eastAsia="Times New Roman" w:cs="Times New Roman"/>
          <w:b/>
          <w:szCs w:val="24"/>
        </w:rPr>
      </w:pPr>
      <w:r>
        <w:rPr>
          <w:rFonts w:eastAsia="Times New Roman" w:cs="Times New Roman"/>
          <w:b/>
          <w:szCs w:val="24"/>
        </w:rPr>
        <w:t>Congress did not intend the work</w:t>
      </w:r>
      <w:r w:rsidR="001044D4">
        <w:rPr>
          <w:rFonts w:eastAsia="Times New Roman" w:cs="Times New Roman"/>
          <w:b/>
          <w:szCs w:val="24"/>
        </w:rPr>
        <w:t xml:space="preserve"> </w:t>
      </w:r>
      <w:r>
        <w:rPr>
          <w:rFonts w:eastAsia="Times New Roman" w:cs="Times New Roman"/>
          <w:b/>
          <w:szCs w:val="24"/>
        </w:rPr>
        <w:t>made</w:t>
      </w:r>
      <w:r w:rsidR="001044D4">
        <w:rPr>
          <w:rFonts w:eastAsia="Times New Roman" w:cs="Times New Roman"/>
          <w:b/>
          <w:szCs w:val="24"/>
        </w:rPr>
        <w:t xml:space="preserve"> </w:t>
      </w:r>
      <w:r>
        <w:rPr>
          <w:rFonts w:eastAsia="Times New Roman" w:cs="Times New Roman"/>
          <w:b/>
          <w:szCs w:val="24"/>
        </w:rPr>
        <w:t>for</w:t>
      </w:r>
      <w:r w:rsidR="001044D4">
        <w:rPr>
          <w:rFonts w:eastAsia="Times New Roman" w:cs="Times New Roman"/>
          <w:b/>
          <w:szCs w:val="24"/>
        </w:rPr>
        <w:t xml:space="preserve"> </w:t>
      </w:r>
      <w:r>
        <w:rPr>
          <w:rFonts w:eastAsia="Times New Roman" w:cs="Times New Roman"/>
          <w:b/>
          <w:szCs w:val="24"/>
        </w:rPr>
        <w:t xml:space="preserve">hire provisions of the Copyright Act of 1976 to allow copyright ownership transfer orally or after the fact. </w:t>
      </w:r>
    </w:p>
    <w:p w14:paraId="19513A74" w14:textId="77777777" w:rsidR="003877F0" w:rsidRDefault="003877F0" w:rsidP="003877F0">
      <w:pPr>
        <w:pStyle w:val="ListParagraph"/>
        <w:spacing w:line="240" w:lineRule="auto"/>
        <w:rPr>
          <w:rFonts w:eastAsia="Times New Roman" w:cs="Times New Roman"/>
          <w:b/>
          <w:szCs w:val="24"/>
        </w:rPr>
      </w:pPr>
    </w:p>
    <w:p w14:paraId="5C3C4609" w14:textId="77777777" w:rsidR="00FD09B8" w:rsidRPr="00733025" w:rsidRDefault="00FD09B8" w:rsidP="00FD09B8">
      <w:pPr>
        <w:ind w:firstLine="720"/>
        <w:rPr>
          <w:rFonts w:eastAsia="Times New Roman" w:cs="Times New Roman"/>
          <w:szCs w:val="24"/>
        </w:rPr>
      </w:pPr>
      <w:r w:rsidRPr="00733025">
        <w:rPr>
          <w:rFonts w:eastAsia="Times New Roman" w:cs="Times New Roman"/>
          <w:szCs w:val="24"/>
        </w:rPr>
        <w:t>A critical aspect of the wording of 17 U.S.C. § 101 apt to being ignored revolves around the analysis of what express language is and is not included.  In the critical initial provisions of the statute, it states the aforementioned requi</w:t>
      </w:r>
      <w:r w:rsidR="00120511">
        <w:rPr>
          <w:rFonts w:eastAsia="Times New Roman" w:cs="Times New Roman"/>
          <w:szCs w:val="24"/>
        </w:rPr>
        <w:t>rement of a written agreement.</w:t>
      </w:r>
    </w:p>
    <w:p w14:paraId="0F57B591" w14:textId="77777777" w:rsidR="00FD09B8" w:rsidRDefault="00FD09B8" w:rsidP="00FD09B8">
      <w:pPr>
        <w:ind w:firstLine="720"/>
        <w:rPr>
          <w:rFonts w:eastAsia="Times New Roman" w:cs="Times New Roman"/>
          <w:szCs w:val="24"/>
        </w:rPr>
      </w:pPr>
      <w:r w:rsidRPr="00733025">
        <w:rPr>
          <w:rFonts w:eastAsia="Times New Roman" w:cs="Times New Roman"/>
          <w:szCs w:val="24"/>
        </w:rPr>
        <w:t>In passing the statute, Congress, as the gatekeep</w:t>
      </w:r>
      <w:r w:rsidR="00AC115C">
        <w:rPr>
          <w:rFonts w:eastAsia="Times New Roman" w:cs="Times New Roman"/>
          <w:szCs w:val="24"/>
        </w:rPr>
        <w:t xml:space="preserve">er of the legislative process, </w:t>
      </w:r>
      <w:r w:rsidRPr="00733025">
        <w:rPr>
          <w:rFonts w:eastAsia="Times New Roman" w:cs="Times New Roman"/>
          <w:szCs w:val="24"/>
        </w:rPr>
        <w:t>had control over the statutory language.  Congress was certainly free and able to include language recognizing oral agreements</w:t>
      </w:r>
      <w:r w:rsidR="00120511">
        <w:rPr>
          <w:rFonts w:eastAsia="Times New Roman" w:cs="Times New Roman"/>
          <w:szCs w:val="24"/>
        </w:rPr>
        <w:t xml:space="preserve"> or written agreements executed after the fact</w:t>
      </w:r>
      <w:r w:rsidRPr="00733025">
        <w:rPr>
          <w:rFonts w:eastAsia="Times New Roman" w:cs="Times New Roman"/>
          <w:szCs w:val="24"/>
        </w:rPr>
        <w:t xml:space="preserve">.  </w:t>
      </w:r>
      <w:r w:rsidR="00C5707D" w:rsidRPr="00733025">
        <w:rPr>
          <w:rFonts w:eastAsia="Times New Roman" w:cs="Times New Roman"/>
          <w:szCs w:val="24"/>
        </w:rPr>
        <w:t xml:space="preserve">Congress, however, did not do this, and instead it included the “written instrument signed by [the parties]” language.  </w:t>
      </w:r>
      <w:r w:rsidRPr="00733025">
        <w:rPr>
          <w:rFonts w:eastAsia="Times New Roman" w:cs="Times New Roman"/>
          <w:szCs w:val="24"/>
        </w:rPr>
        <w:t>17 U.S.C. § 101.  The court cannot broadly construe the plain language of the statute when it adopts certain language to the exclusion of other language.</w:t>
      </w:r>
    </w:p>
    <w:p w14:paraId="32DD3D8A" w14:textId="77777777" w:rsidR="00E91FB4" w:rsidRDefault="004218C3" w:rsidP="00FD09B8">
      <w:pPr>
        <w:ind w:firstLine="720"/>
        <w:rPr>
          <w:rFonts w:eastAsia="Times New Roman" w:cs="Times New Roman"/>
          <w:szCs w:val="24"/>
        </w:rPr>
      </w:pPr>
      <w:r>
        <w:rPr>
          <w:rFonts w:eastAsia="Times New Roman" w:cs="Times New Roman"/>
          <w:szCs w:val="24"/>
        </w:rPr>
        <w:lastRenderedPageBreak/>
        <w:t xml:space="preserve">In addition, during the long legislative process behind the adoption of the Act, many figures were called upon to testify before Congress regarding their interpretations of the specific language.  One such person was Barbara Ringer, who worked at the U.S. Copyright Office.  Ringer, who eventually became Register of Copyrights, testified at a 1964 meeting that it was her understanding that the language of the Act would not allow for works made for hire to be designated as such after the fact.  Ringer stated that “[i]t would not be considered a ‘work made for hire’ if the contract were signed later on—after the work was written, for example.”  H.R.Rep. no. 51-374, 89th Cong., 1st Sess., Part 5, </w:t>
      </w:r>
      <w:r>
        <w:rPr>
          <w:rFonts w:eastAsia="Times New Roman" w:cs="Times New Roman"/>
          <w:i/>
          <w:szCs w:val="24"/>
        </w:rPr>
        <w:t>1964 Revision Bill with Discussions and Comments</w:t>
      </w:r>
      <w:r>
        <w:rPr>
          <w:rFonts w:eastAsia="Times New Roman" w:cs="Times New Roman"/>
          <w:szCs w:val="24"/>
        </w:rPr>
        <w:t>, at 145 (1965).</w:t>
      </w:r>
      <w:r w:rsidR="00884D67">
        <w:rPr>
          <w:rFonts w:eastAsia="Times New Roman" w:cs="Times New Roman"/>
          <w:szCs w:val="24"/>
        </w:rPr>
        <w:t xml:space="preserve">  The fact that Congress passed the Act with knowledge of a U.S. Copyright Office official’s interpretation shows that Congress understood and accepted what the legislation would mean.</w:t>
      </w:r>
    </w:p>
    <w:p w14:paraId="6C8EA402" w14:textId="77777777" w:rsidR="00AF37BF" w:rsidRPr="00AF37BF" w:rsidRDefault="00AF37BF" w:rsidP="00FD09B8">
      <w:pPr>
        <w:ind w:firstLine="720"/>
        <w:rPr>
          <w:rFonts w:eastAsia="Times New Roman" w:cs="Times New Roman"/>
          <w:szCs w:val="24"/>
        </w:rPr>
      </w:pPr>
      <w:r>
        <w:rPr>
          <w:rFonts w:eastAsia="Times New Roman" w:cs="Times New Roman"/>
          <w:szCs w:val="24"/>
        </w:rPr>
        <w:t xml:space="preserve">Plaintiff argues that it would be improper to give Ringer’s statements any legal authority, as she was not a legislator.  This is incorrect, however, because the courts do defer to the interpretation of legislation by those in administrative agencies.  In </w:t>
      </w:r>
      <w:r>
        <w:rPr>
          <w:rFonts w:eastAsia="Times New Roman" w:cs="Times New Roman"/>
          <w:i/>
          <w:szCs w:val="24"/>
        </w:rPr>
        <w:t>Chevron, U.S.A., Inc. v. Natural Res</w:t>
      </w:r>
      <w:r w:rsidR="00850A17">
        <w:rPr>
          <w:rFonts w:eastAsia="Times New Roman" w:cs="Times New Roman"/>
          <w:i/>
          <w:szCs w:val="24"/>
        </w:rPr>
        <w:t>.</w:t>
      </w:r>
      <w:r>
        <w:rPr>
          <w:rFonts w:eastAsia="Times New Roman" w:cs="Times New Roman"/>
          <w:i/>
          <w:szCs w:val="24"/>
        </w:rPr>
        <w:t xml:space="preserve"> Def</w:t>
      </w:r>
      <w:r w:rsidR="00850A17">
        <w:rPr>
          <w:rFonts w:eastAsia="Times New Roman" w:cs="Times New Roman"/>
          <w:i/>
          <w:szCs w:val="24"/>
        </w:rPr>
        <w:t>.</w:t>
      </w:r>
      <w:r>
        <w:rPr>
          <w:rFonts w:eastAsia="Times New Roman" w:cs="Times New Roman"/>
          <w:i/>
          <w:szCs w:val="24"/>
        </w:rPr>
        <w:t xml:space="preserve"> Council, Inc.</w:t>
      </w:r>
      <w:r>
        <w:rPr>
          <w:rFonts w:eastAsia="Times New Roman" w:cs="Times New Roman"/>
          <w:szCs w:val="24"/>
        </w:rPr>
        <w:t>, the Supreme Court stated</w:t>
      </w:r>
      <w:r w:rsidR="00AA0D0B">
        <w:rPr>
          <w:rFonts w:eastAsia="Times New Roman" w:cs="Times New Roman"/>
          <w:szCs w:val="24"/>
        </w:rPr>
        <w:t>,</w:t>
      </w:r>
      <w:r>
        <w:rPr>
          <w:rFonts w:eastAsia="Times New Roman" w:cs="Times New Roman"/>
          <w:szCs w:val="24"/>
        </w:rPr>
        <w:t xml:space="preserve"> “[w]e have long recognized that considerable weight should be accorded to an executive department’s construction of a statutory scheme it is entrusted to administer, and the principle of deference to administrative interpretations.”</w:t>
      </w:r>
      <w:r w:rsidR="0039202E">
        <w:rPr>
          <w:rFonts w:eastAsia="Times New Roman" w:cs="Times New Roman"/>
          <w:szCs w:val="24"/>
        </w:rPr>
        <w:t xml:space="preserve">  467 U.S. 837, 844 (1984).  Although the U.S. Copyright Office is not an agency under the executive branch, it is an administrative agency nonetheless, meaning that the court</w:t>
      </w:r>
      <w:r w:rsidR="00884D67">
        <w:rPr>
          <w:rFonts w:eastAsia="Times New Roman" w:cs="Times New Roman"/>
          <w:szCs w:val="24"/>
        </w:rPr>
        <w:t>s must allow some deference to its</w:t>
      </w:r>
      <w:r w:rsidR="0039202E">
        <w:rPr>
          <w:rFonts w:eastAsia="Times New Roman" w:cs="Times New Roman"/>
          <w:szCs w:val="24"/>
        </w:rPr>
        <w:t xml:space="preserve"> interpretations of statutory schemes.</w:t>
      </w:r>
    </w:p>
    <w:p w14:paraId="3736C881" w14:textId="77777777" w:rsidR="008C1A56" w:rsidRDefault="00D20E82" w:rsidP="008C1A56">
      <w:pPr>
        <w:ind w:firstLine="720"/>
        <w:rPr>
          <w:rFonts w:eastAsia="Times New Roman" w:cs="Times New Roman"/>
          <w:szCs w:val="24"/>
        </w:rPr>
      </w:pPr>
      <w:r w:rsidRPr="00D20E82">
        <w:rPr>
          <w:rFonts w:eastAsia="Times New Roman" w:cs="Times New Roman"/>
          <w:szCs w:val="24"/>
        </w:rPr>
        <w:t>A common argument against a strict interpretation is</w:t>
      </w:r>
      <w:r w:rsidR="00EF3B83" w:rsidRPr="00D20E82">
        <w:rPr>
          <w:rFonts w:eastAsia="Times New Roman" w:cs="Times New Roman"/>
          <w:szCs w:val="24"/>
        </w:rPr>
        <w:t xml:space="preserve"> that the history of federal copyright law supports a loose reading of the work made for hire requirements, since copyright law has been characterized by compromises and evolutions in reaction to shifting circumstances.  But </w:t>
      </w:r>
      <w:r w:rsidR="00EF3B83" w:rsidRPr="00D20E82">
        <w:rPr>
          <w:rFonts w:eastAsia="Times New Roman" w:cs="Times New Roman"/>
          <w:szCs w:val="24"/>
        </w:rPr>
        <w:lastRenderedPageBreak/>
        <w:t>this</w:t>
      </w:r>
      <w:r w:rsidR="008C1A56" w:rsidRPr="00D20E82">
        <w:rPr>
          <w:rFonts w:eastAsia="Times New Roman" w:cs="Times New Roman"/>
          <w:szCs w:val="24"/>
        </w:rPr>
        <w:t xml:space="preserve"> assertion is invalidated by specific actions Congress has taken throughout the history of the Act.</w:t>
      </w:r>
      <w:r w:rsidR="00EF3B83" w:rsidRPr="00D20E82">
        <w:rPr>
          <w:rFonts w:eastAsia="Times New Roman" w:cs="Times New Roman"/>
          <w:szCs w:val="24"/>
        </w:rPr>
        <w:t xml:space="preserve"> </w:t>
      </w:r>
      <w:r w:rsidR="006E27FE" w:rsidRPr="00D20E82">
        <w:rPr>
          <w:rFonts w:eastAsia="Times New Roman" w:cs="Times New Roman"/>
          <w:szCs w:val="24"/>
        </w:rPr>
        <w:t xml:space="preserve"> </w:t>
      </w:r>
      <w:r w:rsidR="008C1A56">
        <w:rPr>
          <w:rFonts w:eastAsia="Times New Roman" w:cs="Times New Roman"/>
          <w:szCs w:val="24"/>
        </w:rPr>
        <w:t xml:space="preserve">Although the central statutory provision in this case is 17 U.S.C. § 101, other provisions in the Act can shed light onto Congress’ true legislative intent.  One such provision, 17 U.S.C. § 204, delineates the protocol for </w:t>
      </w:r>
      <w:r w:rsidR="00F57C39">
        <w:rPr>
          <w:rFonts w:eastAsia="Times New Roman" w:cs="Times New Roman"/>
          <w:szCs w:val="24"/>
        </w:rPr>
        <w:t xml:space="preserve">proper </w:t>
      </w:r>
      <w:r w:rsidR="008C1A56">
        <w:rPr>
          <w:rFonts w:eastAsia="Times New Roman" w:cs="Times New Roman"/>
          <w:szCs w:val="24"/>
        </w:rPr>
        <w:t>copyright ownership transfer.  That provision states</w:t>
      </w:r>
      <w:r w:rsidR="003E325C">
        <w:rPr>
          <w:rFonts w:eastAsia="Times New Roman" w:cs="Times New Roman"/>
          <w:szCs w:val="24"/>
        </w:rPr>
        <w:t>,</w:t>
      </w:r>
      <w:r w:rsidR="008C1A56">
        <w:rPr>
          <w:rFonts w:eastAsia="Times New Roman" w:cs="Times New Roman"/>
          <w:szCs w:val="24"/>
        </w:rPr>
        <w:t xml:space="preserve"> “</w:t>
      </w:r>
      <w:r w:rsidR="001044D4">
        <w:rPr>
          <w:rFonts w:eastAsia="Times New Roman" w:cs="Times New Roman"/>
          <w:szCs w:val="24"/>
        </w:rPr>
        <w:t>[a]</w:t>
      </w:r>
      <w:r w:rsidR="008C1A56">
        <w:rPr>
          <w:rFonts w:eastAsia="Times New Roman" w:cs="Times New Roman"/>
          <w:szCs w:val="24"/>
        </w:rPr>
        <w:t xml:space="preserve"> transfer of copyright ownership, other than by operation of law, is not valid unless an instrument of conveyance, or a note or memorandum of the transfer, is in writing and signed by the owner of the rights conveyed or such owner’s duly authorized agent.”  17 U.S.C. § 204(a).  </w:t>
      </w:r>
    </w:p>
    <w:p w14:paraId="4BB6C65E" w14:textId="77777777" w:rsidR="002D5A6D" w:rsidRDefault="006A3A44" w:rsidP="008C1A56">
      <w:pPr>
        <w:ind w:firstLine="720"/>
        <w:rPr>
          <w:rFonts w:eastAsia="Times New Roman" w:cs="Times New Roman"/>
          <w:szCs w:val="24"/>
        </w:rPr>
      </w:pPr>
      <w:r>
        <w:rPr>
          <w:rFonts w:eastAsia="Times New Roman" w:cs="Times New Roman"/>
          <w:szCs w:val="24"/>
        </w:rPr>
        <w:t xml:space="preserve">This provision is significant in that it represents </w:t>
      </w:r>
      <w:r>
        <w:rPr>
          <w:rFonts w:eastAsia="Times New Roman" w:cs="Times New Roman"/>
          <w:i/>
          <w:szCs w:val="24"/>
        </w:rPr>
        <w:t>the</w:t>
      </w:r>
      <w:r>
        <w:rPr>
          <w:rFonts w:eastAsia="Times New Roman" w:cs="Times New Roman"/>
          <w:szCs w:val="24"/>
        </w:rPr>
        <w:t xml:space="preserve"> statutory method for transferring ownership.</w:t>
      </w:r>
      <w:r w:rsidR="002D5A6D">
        <w:rPr>
          <w:rFonts w:eastAsia="Times New Roman" w:cs="Times New Roman"/>
          <w:szCs w:val="24"/>
        </w:rPr>
        <w:t xml:space="preserve">  </w:t>
      </w:r>
      <w:r w:rsidR="002D5A6D" w:rsidRPr="00D20E82">
        <w:rPr>
          <w:rFonts w:eastAsia="Times New Roman" w:cs="Times New Roman"/>
          <w:szCs w:val="24"/>
        </w:rPr>
        <w:t xml:space="preserve">Although the </w:t>
      </w:r>
      <w:r w:rsidR="00D20E82" w:rsidRPr="00D20E82">
        <w:rPr>
          <w:rFonts w:eastAsia="Times New Roman" w:cs="Times New Roman"/>
          <w:szCs w:val="24"/>
        </w:rPr>
        <w:t>concept of the work made for hire</w:t>
      </w:r>
      <w:r w:rsidR="002D5A6D" w:rsidRPr="00D20E82">
        <w:rPr>
          <w:rFonts w:eastAsia="Times New Roman" w:cs="Times New Roman"/>
          <w:szCs w:val="24"/>
        </w:rPr>
        <w:t xml:space="preserve"> act</w:t>
      </w:r>
      <w:r w:rsidR="00D20E82" w:rsidRPr="00D20E82">
        <w:rPr>
          <w:rFonts w:eastAsia="Times New Roman" w:cs="Times New Roman"/>
          <w:szCs w:val="24"/>
        </w:rPr>
        <w:t>s</w:t>
      </w:r>
      <w:r w:rsidR="002D5A6D" w:rsidRPr="00D20E82">
        <w:rPr>
          <w:rFonts w:eastAsia="Times New Roman" w:cs="Times New Roman"/>
          <w:szCs w:val="24"/>
        </w:rPr>
        <w:t xml:space="preserve"> to </w:t>
      </w:r>
      <w:r w:rsidR="00D20E82" w:rsidRPr="00D20E82">
        <w:rPr>
          <w:rFonts w:eastAsia="Times New Roman" w:cs="Times New Roman"/>
          <w:szCs w:val="24"/>
        </w:rPr>
        <w:t>vest</w:t>
      </w:r>
      <w:r w:rsidR="002D5A6D" w:rsidRPr="00D20E82">
        <w:rPr>
          <w:rFonts w:eastAsia="Times New Roman" w:cs="Times New Roman"/>
          <w:szCs w:val="24"/>
        </w:rPr>
        <w:t xml:space="preserve"> </w:t>
      </w:r>
      <w:r w:rsidR="00D20E82" w:rsidRPr="00D20E82">
        <w:rPr>
          <w:rFonts w:eastAsia="Times New Roman" w:cs="Times New Roman"/>
          <w:szCs w:val="24"/>
        </w:rPr>
        <w:t xml:space="preserve">initial </w:t>
      </w:r>
      <w:r w:rsidR="002D5A6D" w:rsidRPr="00D20E82">
        <w:rPr>
          <w:rFonts w:eastAsia="Times New Roman" w:cs="Times New Roman"/>
          <w:szCs w:val="24"/>
        </w:rPr>
        <w:t>copyright owner</w:t>
      </w:r>
      <w:r w:rsidR="00D20E82" w:rsidRPr="00D20E82">
        <w:rPr>
          <w:rFonts w:eastAsia="Times New Roman" w:cs="Times New Roman"/>
          <w:szCs w:val="24"/>
        </w:rPr>
        <w:t>ship in someone</w:t>
      </w:r>
      <w:r w:rsidR="002D5A6D" w:rsidRPr="00D20E82">
        <w:rPr>
          <w:rFonts w:eastAsia="Times New Roman" w:cs="Times New Roman"/>
          <w:szCs w:val="24"/>
        </w:rPr>
        <w:t xml:space="preserve"> who would not </w:t>
      </w:r>
      <w:r w:rsidR="00D20E82" w:rsidRPr="00D20E82">
        <w:rPr>
          <w:rFonts w:eastAsia="Times New Roman" w:cs="Times New Roman"/>
          <w:szCs w:val="24"/>
        </w:rPr>
        <w:t>be considered the owner</w:t>
      </w:r>
      <w:r w:rsidR="002D5A6D" w:rsidRPr="00D20E82">
        <w:rPr>
          <w:rFonts w:eastAsia="Times New Roman" w:cs="Times New Roman"/>
          <w:szCs w:val="24"/>
        </w:rPr>
        <w:t xml:space="preserve"> under other circumstances, it is irrational to suggest that th</w:t>
      </w:r>
      <w:r w:rsidR="00D20E82" w:rsidRPr="00D20E82">
        <w:rPr>
          <w:rFonts w:eastAsia="Times New Roman" w:cs="Times New Roman"/>
          <w:szCs w:val="24"/>
        </w:rPr>
        <w:t>is concept also</w:t>
      </w:r>
      <w:r w:rsidR="002D5A6D" w:rsidRPr="00D20E82">
        <w:rPr>
          <w:rFonts w:eastAsia="Times New Roman" w:cs="Times New Roman"/>
          <w:szCs w:val="24"/>
        </w:rPr>
        <w:t xml:space="preserve"> allow</w:t>
      </w:r>
      <w:r w:rsidR="00D20E82" w:rsidRPr="00D20E82">
        <w:rPr>
          <w:rFonts w:eastAsia="Times New Roman" w:cs="Times New Roman"/>
          <w:szCs w:val="24"/>
        </w:rPr>
        <w:t>s</w:t>
      </w:r>
      <w:r w:rsidR="00884D67">
        <w:rPr>
          <w:rFonts w:eastAsia="Times New Roman" w:cs="Times New Roman"/>
          <w:szCs w:val="24"/>
        </w:rPr>
        <w:t xml:space="preserve"> for a transfer when a separate</w:t>
      </w:r>
      <w:r w:rsidR="002D5A6D" w:rsidRPr="00D20E82">
        <w:rPr>
          <w:rFonts w:eastAsia="Times New Roman" w:cs="Times New Roman"/>
          <w:szCs w:val="24"/>
        </w:rPr>
        <w:t xml:space="preserve"> provision within the statute expressly deals with </w:t>
      </w:r>
      <w:r w:rsidR="00D20E82" w:rsidRPr="00D20E82">
        <w:rPr>
          <w:rFonts w:eastAsia="Times New Roman" w:cs="Times New Roman"/>
          <w:szCs w:val="24"/>
        </w:rPr>
        <w:t>copyright transfer</w:t>
      </w:r>
      <w:r w:rsidR="002D5A6D" w:rsidRPr="00D20E82">
        <w:rPr>
          <w:rFonts w:eastAsia="Times New Roman" w:cs="Times New Roman"/>
          <w:szCs w:val="24"/>
        </w:rPr>
        <w:t xml:space="preserve"> issues.</w:t>
      </w:r>
    </w:p>
    <w:p w14:paraId="3DE4E542" w14:textId="77777777" w:rsidR="003877F0" w:rsidRDefault="002D5A6D" w:rsidP="00131BE3">
      <w:pPr>
        <w:ind w:firstLine="720"/>
        <w:rPr>
          <w:rFonts w:eastAsia="Times New Roman" w:cs="Times New Roman"/>
          <w:b/>
          <w:szCs w:val="24"/>
        </w:rPr>
      </w:pPr>
      <w:r>
        <w:rPr>
          <w:rFonts w:eastAsia="Times New Roman" w:cs="Times New Roman"/>
          <w:szCs w:val="24"/>
        </w:rPr>
        <w:t>Yet</w:t>
      </w:r>
      <w:r w:rsidR="00805C8F">
        <w:rPr>
          <w:rFonts w:eastAsia="Times New Roman" w:cs="Times New Roman"/>
          <w:szCs w:val="24"/>
        </w:rPr>
        <w:t>,</w:t>
      </w:r>
      <w:r>
        <w:rPr>
          <w:rFonts w:eastAsia="Times New Roman" w:cs="Times New Roman"/>
          <w:szCs w:val="24"/>
        </w:rPr>
        <w:t xml:space="preserve"> this irrational suggestion </w:t>
      </w:r>
      <w:r w:rsidR="00F57C39">
        <w:rPr>
          <w:rFonts w:eastAsia="Times New Roman" w:cs="Times New Roman"/>
          <w:szCs w:val="24"/>
        </w:rPr>
        <w:t xml:space="preserve">would materialize under Plaintiff’s argument.  Keeping in mind the clear requirement for a written agreement to memorialize a work made for hire, allowing such agreements to be executed </w:t>
      </w:r>
      <w:r w:rsidR="00E807A1">
        <w:rPr>
          <w:rFonts w:eastAsia="Times New Roman" w:cs="Times New Roman"/>
          <w:szCs w:val="24"/>
        </w:rPr>
        <w:t xml:space="preserve">after the fact </w:t>
      </w:r>
      <w:r w:rsidR="00F57C39">
        <w:rPr>
          <w:rFonts w:eastAsia="Times New Roman" w:cs="Times New Roman"/>
          <w:szCs w:val="24"/>
        </w:rPr>
        <w:t xml:space="preserve">would </w:t>
      </w:r>
      <w:r w:rsidR="00434378">
        <w:rPr>
          <w:rFonts w:eastAsia="Times New Roman" w:cs="Times New Roman"/>
          <w:szCs w:val="24"/>
        </w:rPr>
        <w:t>effect</w:t>
      </w:r>
      <w:r w:rsidR="00852479">
        <w:rPr>
          <w:rFonts w:eastAsia="Times New Roman" w:cs="Times New Roman"/>
          <w:szCs w:val="24"/>
        </w:rPr>
        <w:t>uate</w:t>
      </w:r>
      <w:r w:rsidR="00F57C39">
        <w:rPr>
          <w:rFonts w:eastAsia="Times New Roman" w:cs="Times New Roman"/>
          <w:szCs w:val="24"/>
        </w:rPr>
        <w:t xml:space="preserve"> a transfer of copyright ownership from the creator to the commissioner, which creates a glaring redundancy within </w:t>
      </w:r>
      <w:r w:rsidR="00434378">
        <w:rPr>
          <w:rFonts w:eastAsia="Times New Roman" w:cs="Times New Roman"/>
          <w:szCs w:val="24"/>
        </w:rPr>
        <w:t>the Act</w:t>
      </w:r>
      <w:r w:rsidR="00F57C39">
        <w:rPr>
          <w:rFonts w:eastAsia="Times New Roman" w:cs="Times New Roman"/>
          <w:szCs w:val="24"/>
        </w:rPr>
        <w:t xml:space="preserve">.  For a piece of legislation with </w:t>
      </w:r>
      <w:r w:rsidR="00805C8F">
        <w:rPr>
          <w:rFonts w:eastAsia="Times New Roman" w:cs="Times New Roman"/>
          <w:szCs w:val="24"/>
        </w:rPr>
        <w:t xml:space="preserve">such </w:t>
      </w:r>
      <w:r w:rsidR="00F57C39">
        <w:rPr>
          <w:rFonts w:eastAsia="Times New Roman" w:cs="Times New Roman"/>
          <w:szCs w:val="24"/>
        </w:rPr>
        <w:t>a voluminous record, “</w:t>
      </w:r>
      <w:r w:rsidR="00AA0D0B">
        <w:rPr>
          <w:rFonts w:eastAsia="Times New Roman" w:cs="Times New Roman"/>
          <w:szCs w:val="24"/>
        </w:rPr>
        <w:t>[i]</w:t>
      </w:r>
      <w:r w:rsidR="00F57C39">
        <w:rPr>
          <w:rFonts w:eastAsia="Times New Roman" w:cs="Times New Roman"/>
          <w:szCs w:val="24"/>
        </w:rPr>
        <w:t>t is counter-intuitive to imagine that Congress</w:t>
      </w:r>
      <w:r w:rsidR="001044D4">
        <w:rPr>
          <w:rFonts w:eastAsia="Times New Roman" w:cs="Times New Roman"/>
          <w:szCs w:val="24"/>
        </w:rPr>
        <w:t xml:space="preserve"> . . . </w:t>
      </w:r>
      <w:r w:rsidR="00F57C39">
        <w:rPr>
          <w:rFonts w:eastAsia="Times New Roman" w:cs="Times New Roman"/>
          <w:szCs w:val="24"/>
        </w:rPr>
        <w:t xml:space="preserve">would so design </w:t>
      </w:r>
      <w:r w:rsidR="00F57C39" w:rsidRPr="00D20E82">
        <w:rPr>
          <w:rFonts w:eastAsia="Times New Roman" w:cs="Times New Roman"/>
          <w:szCs w:val="24"/>
        </w:rPr>
        <w:t>redundancies into the statutory scheme</w:t>
      </w:r>
      <w:r w:rsidR="00AA0D0B">
        <w:rPr>
          <w:rFonts w:eastAsia="Times New Roman" w:cs="Times New Roman"/>
          <w:szCs w:val="24"/>
        </w:rPr>
        <w:t xml:space="preserve"> . . . .</w:t>
      </w:r>
      <w:r w:rsidR="00F57C39" w:rsidRPr="00D20E82">
        <w:rPr>
          <w:rFonts w:eastAsia="Times New Roman" w:cs="Times New Roman"/>
          <w:szCs w:val="24"/>
        </w:rPr>
        <w:t xml:space="preserve">”  Salzmann, </w:t>
      </w:r>
      <w:r w:rsidR="00EE5D80" w:rsidRPr="00D20E82">
        <w:rPr>
          <w:rFonts w:eastAsia="Times New Roman" w:cs="Times New Roman"/>
          <w:i/>
          <w:szCs w:val="24"/>
        </w:rPr>
        <w:t>supra</w:t>
      </w:r>
      <w:r w:rsidR="00EE5D80" w:rsidRPr="00D20E82">
        <w:rPr>
          <w:rFonts w:eastAsia="Times New Roman" w:cs="Times New Roman"/>
          <w:szCs w:val="24"/>
        </w:rPr>
        <w:t>, at 518.</w:t>
      </w:r>
      <w:r w:rsidR="00F57C39" w:rsidRPr="00D20E82">
        <w:rPr>
          <w:rFonts w:eastAsia="Times New Roman" w:cs="Times New Roman"/>
          <w:szCs w:val="24"/>
        </w:rPr>
        <w:t xml:space="preserve">  </w:t>
      </w:r>
      <w:r w:rsidR="0039202E">
        <w:rPr>
          <w:rFonts w:eastAsia="Times New Roman" w:cs="Times New Roman"/>
          <w:i/>
          <w:szCs w:val="24"/>
        </w:rPr>
        <w:t xml:space="preserve">See Playboy Enters., Inc. v. Dumas, </w:t>
      </w:r>
      <w:r w:rsidR="0039202E">
        <w:rPr>
          <w:rFonts w:eastAsia="Times New Roman" w:cs="Times New Roman"/>
          <w:szCs w:val="24"/>
        </w:rPr>
        <w:t>831 F.Supp. 295 (S.D.N.Y. 1993).</w:t>
      </w:r>
      <w:r w:rsidR="0039202E">
        <w:rPr>
          <w:rFonts w:eastAsia="Times New Roman" w:cs="Times New Roman"/>
          <w:i/>
          <w:szCs w:val="24"/>
        </w:rPr>
        <w:t xml:space="preserve">  </w:t>
      </w:r>
      <w:r w:rsidR="00F57C39" w:rsidRPr="0039202E">
        <w:rPr>
          <w:rFonts w:eastAsia="Times New Roman" w:cs="Times New Roman"/>
          <w:szCs w:val="24"/>
        </w:rPr>
        <w:t>Additionally</w:t>
      </w:r>
      <w:r w:rsidR="00F57C39" w:rsidRPr="00D20E82">
        <w:rPr>
          <w:rFonts w:eastAsia="Times New Roman" w:cs="Times New Roman"/>
          <w:szCs w:val="24"/>
        </w:rPr>
        <w:t>, “</w:t>
      </w:r>
      <w:r w:rsidR="00AA0D0B">
        <w:rPr>
          <w:rFonts w:eastAsia="Times New Roman" w:cs="Times New Roman"/>
          <w:szCs w:val="24"/>
        </w:rPr>
        <w:t>[b]</w:t>
      </w:r>
      <w:r w:rsidR="00F57C39" w:rsidRPr="00D20E82">
        <w:rPr>
          <w:rFonts w:eastAsia="Times New Roman" w:cs="Times New Roman"/>
          <w:szCs w:val="24"/>
        </w:rPr>
        <w:t>ecause a statutory interpretation resulting in redundancy is disfavored, courts have interpreted this to mean that a work ma</w:t>
      </w:r>
      <w:r w:rsidR="00805C8F" w:rsidRPr="00D20E82">
        <w:rPr>
          <w:rFonts w:eastAsia="Times New Roman" w:cs="Times New Roman"/>
          <w:szCs w:val="24"/>
        </w:rPr>
        <w:t>d</w:t>
      </w:r>
      <w:r w:rsidR="00F57C39" w:rsidRPr="00D20E82">
        <w:rPr>
          <w:rFonts w:eastAsia="Times New Roman" w:cs="Times New Roman"/>
          <w:szCs w:val="24"/>
        </w:rPr>
        <w:t xml:space="preserve">e for hire agreement must be in writing prior to creation of the work.”  </w:t>
      </w:r>
      <w:r w:rsidR="00884D67">
        <w:rPr>
          <w:rFonts w:eastAsia="Times New Roman" w:cs="Times New Roman"/>
          <w:szCs w:val="24"/>
        </w:rPr>
        <w:t xml:space="preserve">Salzmann, </w:t>
      </w:r>
      <w:r w:rsidR="00884D67">
        <w:rPr>
          <w:rFonts w:eastAsia="Times New Roman" w:cs="Times New Roman"/>
          <w:i/>
          <w:szCs w:val="24"/>
        </w:rPr>
        <w:t>supra</w:t>
      </w:r>
      <w:r w:rsidR="00EE5D80" w:rsidRPr="00D20E82">
        <w:rPr>
          <w:rFonts w:eastAsia="Times New Roman" w:cs="Times New Roman"/>
          <w:szCs w:val="24"/>
        </w:rPr>
        <w:t>,</w:t>
      </w:r>
      <w:r w:rsidR="00F57C39" w:rsidRPr="00D20E82">
        <w:rPr>
          <w:rFonts w:eastAsia="Times New Roman" w:cs="Times New Roman"/>
          <w:szCs w:val="24"/>
        </w:rPr>
        <w:t xml:space="preserve"> at 517</w:t>
      </w:r>
      <w:r w:rsidR="00FD55AE" w:rsidRPr="00D20E82">
        <w:rPr>
          <w:rFonts w:eastAsia="Times New Roman" w:cs="Times New Roman"/>
          <w:szCs w:val="24"/>
        </w:rPr>
        <w:t xml:space="preserve">.  </w:t>
      </w:r>
    </w:p>
    <w:p w14:paraId="113BD80A" w14:textId="77777777" w:rsidR="000A4C8E" w:rsidRDefault="00805C8F" w:rsidP="00884D67">
      <w:pPr>
        <w:ind w:firstLine="720"/>
        <w:rPr>
          <w:rFonts w:eastAsia="Times New Roman" w:cs="Times New Roman"/>
          <w:szCs w:val="24"/>
        </w:rPr>
      </w:pPr>
      <w:r>
        <w:rPr>
          <w:rFonts w:eastAsia="Times New Roman" w:cs="Times New Roman"/>
          <w:szCs w:val="24"/>
        </w:rPr>
        <w:lastRenderedPageBreak/>
        <w:t>T</w:t>
      </w:r>
      <w:r w:rsidR="006A3A44">
        <w:rPr>
          <w:rFonts w:eastAsia="Times New Roman" w:cs="Times New Roman"/>
          <w:szCs w:val="24"/>
        </w:rPr>
        <w:t xml:space="preserve">he ownership transfer mechanism set up in the Act differs significantly from the work made for hire process, </w:t>
      </w:r>
      <w:r>
        <w:rPr>
          <w:rFonts w:eastAsia="Times New Roman" w:cs="Times New Roman"/>
          <w:szCs w:val="24"/>
        </w:rPr>
        <w:t xml:space="preserve">which serves to </w:t>
      </w:r>
      <w:r w:rsidR="006A3A44">
        <w:rPr>
          <w:rFonts w:eastAsia="Times New Roman" w:cs="Times New Roman"/>
          <w:szCs w:val="24"/>
        </w:rPr>
        <w:t>cement</w:t>
      </w:r>
      <w:r>
        <w:rPr>
          <w:rFonts w:eastAsia="Times New Roman" w:cs="Times New Roman"/>
          <w:szCs w:val="24"/>
        </w:rPr>
        <w:t xml:space="preserve"> the noti</w:t>
      </w:r>
      <w:r w:rsidR="006A3A44">
        <w:rPr>
          <w:rFonts w:eastAsia="Times New Roman" w:cs="Times New Roman"/>
          <w:szCs w:val="24"/>
        </w:rPr>
        <w:t xml:space="preserve">on that Plaintiff’s proffered interpretation </w:t>
      </w:r>
      <w:r w:rsidR="000A4C8E">
        <w:rPr>
          <w:rFonts w:eastAsia="Times New Roman" w:cs="Times New Roman"/>
          <w:szCs w:val="24"/>
        </w:rPr>
        <w:t>cannot</w:t>
      </w:r>
      <w:r w:rsidR="006A3A44">
        <w:rPr>
          <w:rFonts w:eastAsia="Times New Roman" w:cs="Times New Roman"/>
          <w:szCs w:val="24"/>
        </w:rPr>
        <w:t xml:space="preserve"> act </w:t>
      </w:r>
      <w:r w:rsidR="000A4C8E">
        <w:rPr>
          <w:rFonts w:eastAsia="Times New Roman" w:cs="Times New Roman"/>
          <w:szCs w:val="24"/>
        </w:rPr>
        <w:t xml:space="preserve">merely </w:t>
      </w:r>
      <w:r w:rsidR="006A3A44">
        <w:rPr>
          <w:rFonts w:eastAsia="Times New Roman" w:cs="Times New Roman"/>
          <w:szCs w:val="24"/>
        </w:rPr>
        <w:t xml:space="preserve">as a substitute for the transfer process detailed in 17 U.S.C. § 204.  </w:t>
      </w:r>
      <w:r w:rsidR="000A4C8E">
        <w:rPr>
          <w:rFonts w:eastAsia="Times New Roman" w:cs="Times New Roman"/>
          <w:szCs w:val="24"/>
        </w:rPr>
        <w:t xml:space="preserve">Recall the language cited earlier that states </w:t>
      </w:r>
      <w:r>
        <w:rPr>
          <w:rFonts w:eastAsia="Times New Roman" w:cs="Times New Roman"/>
          <w:szCs w:val="24"/>
        </w:rPr>
        <w:t xml:space="preserve">that </w:t>
      </w:r>
      <w:r w:rsidR="000A4C8E">
        <w:rPr>
          <w:rFonts w:eastAsia="Times New Roman" w:cs="Times New Roman"/>
          <w:szCs w:val="24"/>
        </w:rPr>
        <w:t>works made for hire become designated as such when “the parties expressly agree in a written instrument signed by them</w:t>
      </w:r>
      <w:r w:rsidR="00AA0D0B">
        <w:rPr>
          <w:rFonts w:eastAsia="Times New Roman" w:cs="Times New Roman"/>
          <w:szCs w:val="24"/>
        </w:rPr>
        <w:t xml:space="preserve"> . . . .</w:t>
      </w:r>
      <w:r w:rsidR="000A4C8E">
        <w:rPr>
          <w:rFonts w:eastAsia="Times New Roman" w:cs="Times New Roman"/>
          <w:szCs w:val="24"/>
        </w:rPr>
        <w:t>”  17 U.S.C. § 101.  It is clear from this language that the writing must be signed by both the commissioned author and the commissioning party.  The copyright transfer provisions, however, only require a written agreement “signed by the owner of the rights conveyed</w:t>
      </w:r>
      <w:r w:rsidR="00AA0D0B">
        <w:rPr>
          <w:rFonts w:eastAsia="Times New Roman" w:cs="Times New Roman"/>
          <w:szCs w:val="24"/>
        </w:rPr>
        <w:t xml:space="preserve"> . . . .</w:t>
      </w:r>
      <w:r w:rsidR="000A4C8E">
        <w:rPr>
          <w:rFonts w:eastAsia="Times New Roman" w:cs="Times New Roman"/>
          <w:szCs w:val="24"/>
        </w:rPr>
        <w:t xml:space="preserve">”  17 U.S.C. § 204(a).  Even if it can be successfully argued that the work made for hire process is essentially the same as a transfer of ownership, this dissonance in requirements </w:t>
      </w:r>
      <w:r w:rsidR="006B4DC8">
        <w:rPr>
          <w:rFonts w:eastAsia="Times New Roman" w:cs="Times New Roman"/>
          <w:szCs w:val="24"/>
        </w:rPr>
        <w:t>is evidence of</w:t>
      </w:r>
      <w:r w:rsidR="000A4C8E">
        <w:rPr>
          <w:rFonts w:eastAsia="Times New Roman" w:cs="Times New Roman"/>
          <w:szCs w:val="24"/>
        </w:rPr>
        <w:t xml:space="preserve"> Congress’ intent to distinguish the</w:t>
      </w:r>
      <w:r>
        <w:rPr>
          <w:rFonts w:eastAsia="Times New Roman" w:cs="Times New Roman"/>
          <w:szCs w:val="24"/>
        </w:rPr>
        <w:t xml:space="preserve"> two processes</w:t>
      </w:r>
      <w:r w:rsidR="000A4C8E">
        <w:rPr>
          <w:rFonts w:eastAsia="Times New Roman" w:cs="Times New Roman"/>
          <w:szCs w:val="24"/>
        </w:rPr>
        <w:t xml:space="preserve">.  </w:t>
      </w:r>
    </w:p>
    <w:p w14:paraId="3FDBC0EA" w14:textId="77777777" w:rsidR="00F54D8C" w:rsidRDefault="00AC115C" w:rsidP="00FD09B8">
      <w:pPr>
        <w:pStyle w:val="ListParagraph"/>
        <w:numPr>
          <w:ilvl w:val="1"/>
          <w:numId w:val="1"/>
        </w:numPr>
        <w:spacing w:line="240" w:lineRule="auto"/>
        <w:rPr>
          <w:rFonts w:eastAsia="Times New Roman" w:cs="Times New Roman"/>
          <w:b/>
          <w:szCs w:val="24"/>
        </w:rPr>
      </w:pPr>
      <w:r>
        <w:rPr>
          <w:rFonts w:eastAsia="Times New Roman" w:cs="Times New Roman"/>
          <w:b/>
          <w:szCs w:val="24"/>
        </w:rPr>
        <w:t>Important policy considerations underlie an interpretation of the Copyright Act of 1976 that requires strict adherence to work-made-for-hire provisions.</w:t>
      </w:r>
    </w:p>
    <w:p w14:paraId="6C849D35" w14:textId="77777777" w:rsidR="003877F0" w:rsidRDefault="003877F0" w:rsidP="003877F0">
      <w:pPr>
        <w:pStyle w:val="ListParagraph"/>
        <w:spacing w:line="240" w:lineRule="auto"/>
        <w:rPr>
          <w:rFonts w:eastAsia="Times New Roman" w:cs="Times New Roman"/>
          <w:b/>
          <w:szCs w:val="24"/>
        </w:rPr>
      </w:pPr>
    </w:p>
    <w:p w14:paraId="368FF00B" w14:textId="77777777" w:rsidR="003877F0" w:rsidRDefault="000A4C8E" w:rsidP="00131BE3">
      <w:pPr>
        <w:ind w:firstLine="720"/>
        <w:rPr>
          <w:rFonts w:eastAsia="Times New Roman" w:cs="Times New Roman"/>
          <w:b/>
          <w:szCs w:val="24"/>
        </w:rPr>
      </w:pPr>
      <w:r>
        <w:rPr>
          <w:rFonts w:eastAsia="Times New Roman" w:cs="Times New Roman"/>
          <w:szCs w:val="24"/>
        </w:rPr>
        <w:t xml:space="preserve">The loose interpretation of the Act advocated by Plaintiff also </w:t>
      </w:r>
      <w:r w:rsidR="00A73F2E">
        <w:rPr>
          <w:rFonts w:eastAsia="Times New Roman" w:cs="Times New Roman"/>
          <w:szCs w:val="24"/>
        </w:rPr>
        <w:t>conflict</w:t>
      </w:r>
      <w:r w:rsidR="00AF7EE8">
        <w:rPr>
          <w:rFonts w:eastAsia="Times New Roman" w:cs="Times New Roman"/>
          <w:szCs w:val="24"/>
        </w:rPr>
        <w:t>s</w:t>
      </w:r>
      <w:r w:rsidR="00A73F2E">
        <w:rPr>
          <w:rFonts w:eastAsia="Times New Roman" w:cs="Times New Roman"/>
          <w:szCs w:val="24"/>
        </w:rPr>
        <w:t xml:space="preserve"> with</w:t>
      </w:r>
      <w:r>
        <w:rPr>
          <w:rFonts w:eastAsia="Times New Roman" w:cs="Times New Roman"/>
          <w:szCs w:val="24"/>
        </w:rPr>
        <w:t xml:space="preserve"> important policy consideration</w:t>
      </w:r>
      <w:r w:rsidR="001457FF">
        <w:rPr>
          <w:rFonts w:eastAsia="Times New Roman" w:cs="Times New Roman"/>
          <w:szCs w:val="24"/>
        </w:rPr>
        <w:t>s</w:t>
      </w:r>
      <w:r>
        <w:rPr>
          <w:rFonts w:eastAsia="Times New Roman" w:cs="Times New Roman"/>
          <w:szCs w:val="24"/>
        </w:rPr>
        <w:t xml:space="preserve">.  That is, allowing written work made for hire agreements executed after </w:t>
      </w:r>
      <w:r w:rsidR="00920B76">
        <w:rPr>
          <w:rFonts w:eastAsia="Times New Roman" w:cs="Times New Roman"/>
          <w:szCs w:val="24"/>
        </w:rPr>
        <w:t xml:space="preserve">creation to be officially recognized introduces an immense amount of uncertainty into copyright matters.  Interpreting the work made for hire requirements as the Seventh Circuit has done promotes clear, understandable, bright-line rules that aid the public.  </w:t>
      </w:r>
      <w:r>
        <w:rPr>
          <w:rFonts w:eastAsia="Times New Roman" w:cs="Times New Roman"/>
          <w:szCs w:val="24"/>
        </w:rPr>
        <w:t xml:space="preserve">  </w:t>
      </w:r>
    </w:p>
    <w:p w14:paraId="4AF89E27" w14:textId="77777777" w:rsidR="00920B76" w:rsidRDefault="005933D7" w:rsidP="003225E4">
      <w:pPr>
        <w:ind w:firstLine="720"/>
        <w:rPr>
          <w:rFonts w:eastAsia="Times New Roman" w:cs="Times New Roman"/>
          <w:szCs w:val="24"/>
        </w:rPr>
      </w:pPr>
      <w:r>
        <w:rPr>
          <w:rFonts w:eastAsia="Times New Roman" w:cs="Times New Roman"/>
          <w:szCs w:val="24"/>
        </w:rPr>
        <w:t>Although absolute certaint</w:t>
      </w:r>
      <w:r w:rsidR="00920B76">
        <w:rPr>
          <w:rFonts w:eastAsia="Times New Roman" w:cs="Times New Roman"/>
          <w:szCs w:val="24"/>
        </w:rPr>
        <w:t xml:space="preserve">y is uncommon in the law, it ought to be a jurisprudential </w:t>
      </w:r>
      <w:r w:rsidR="003225E4">
        <w:rPr>
          <w:rFonts w:eastAsia="Times New Roman" w:cs="Times New Roman"/>
          <w:szCs w:val="24"/>
        </w:rPr>
        <w:t xml:space="preserve">and legislative </w:t>
      </w:r>
      <w:r w:rsidR="00920B76">
        <w:rPr>
          <w:rFonts w:eastAsia="Times New Roman" w:cs="Times New Roman"/>
          <w:szCs w:val="24"/>
        </w:rPr>
        <w:t xml:space="preserve">goal to utilize bright-line rules whenever </w:t>
      </w:r>
      <w:r w:rsidR="003225E4">
        <w:rPr>
          <w:rFonts w:eastAsia="Times New Roman" w:cs="Times New Roman"/>
          <w:szCs w:val="24"/>
        </w:rPr>
        <w:t xml:space="preserve">possible.  And in passing the Act, Congress attempted to do just that, as “Congress’ paramount goal in revising the 1976 Act [was] enhancing predictability and certainty of copyright ownership.”  </w:t>
      </w:r>
      <w:r w:rsidR="003225E4">
        <w:rPr>
          <w:rFonts w:eastAsia="Times New Roman" w:cs="Times New Roman"/>
          <w:i/>
          <w:szCs w:val="24"/>
        </w:rPr>
        <w:t>Community fo</w:t>
      </w:r>
      <w:r>
        <w:rPr>
          <w:rFonts w:eastAsia="Times New Roman" w:cs="Times New Roman"/>
          <w:i/>
          <w:szCs w:val="24"/>
        </w:rPr>
        <w:t>r Creative Non-Violence v. Reid</w:t>
      </w:r>
      <w:r>
        <w:rPr>
          <w:rFonts w:eastAsia="Times New Roman" w:cs="Times New Roman"/>
          <w:szCs w:val="24"/>
        </w:rPr>
        <w:t xml:space="preserve">, 490 U.S. 730, 749 (1989).  </w:t>
      </w:r>
    </w:p>
    <w:p w14:paraId="3ED814EF" w14:textId="77777777" w:rsidR="00E32745" w:rsidRDefault="00E32745" w:rsidP="003225E4">
      <w:pPr>
        <w:ind w:firstLine="720"/>
        <w:rPr>
          <w:rFonts w:eastAsia="Times New Roman" w:cs="Times New Roman"/>
          <w:szCs w:val="24"/>
        </w:rPr>
      </w:pPr>
      <w:r w:rsidRPr="006B4DC8">
        <w:rPr>
          <w:rFonts w:eastAsia="Times New Roman" w:cs="Times New Roman"/>
          <w:szCs w:val="24"/>
        </w:rPr>
        <w:lastRenderedPageBreak/>
        <w:t xml:space="preserve">The </w:t>
      </w:r>
      <w:r w:rsidRPr="006B4DC8">
        <w:rPr>
          <w:rFonts w:eastAsia="Times New Roman" w:cs="Times New Roman"/>
          <w:i/>
          <w:szCs w:val="24"/>
        </w:rPr>
        <w:t>Schiller &amp; Schmidt</w:t>
      </w:r>
      <w:r w:rsidRPr="006B4DC8">
        <w:rPr>
          <w:rFonts w:eastAsia="Times New Roman" w:cs="Times New Roman"/>
          <w:szCs w:val="24"/>
        </w:rPr>
        <w:t xml:space="preserve"> court identif</w:t>
      </w:r>
      <w:r w:rsidR="006B4DC8" w:rsidRPr="006B4DC8">
        <w:rPr>
          <w:rFonts w:eastAsia="Times New Roman" w:cs="Times New Roman"/>
          <w:szCs w:val="24"/>
        </w:rPr>
        <w:t>ied</w:t>
      </w:r>
      <w:r w:rsidRPr="006B4DC8">
        <w:rPr>
          <w:rFonts w:eastAsia="Times New Roman" w:cs="Times New Roman"/>
          <w:szCs w:val="24"/>
        </w:rPr>
        <w:t xml:space="preserve"> some of the important purposes of requiring the written agreement to come before the creation.  </w:t>
      </w:r>
      <w:r w:rsidR="00434378" w:rsidRPr="006B4DC8">
        <w:rPr>
          <w:rFonts w:eastAsia="Times New Roman" w:cs="Times New Roman"/>
          <w:szCs w:val="24"/>
        </w:rPr>
        <w:t>Emphasizing the importance of writings, the court states</w:t>
      </w:r>
      <w:r w:rsidR="00434378">
        <w:rPr>
          <w:rFonts w:eastAsia="Times New Roman" w:cs="Times New Roman"/>
          <w:szCs w:val="24"/>
        </w:rPr>
        <w:t>,</w:t>
      </w:r>
      <w:r w:rsidR="00434378" w:rsidRPr="006B4DC8">
        <w:rPr>
          <w:rFonts w:eastAsia="Times New Roman" w:cs="Times New Roman"/>
          <w:szCs w:val="24"/>
        </w:rPr>
        <w:t xml:space="preserve"> “</w:t>
      </w:r>
      <w:r w:rsidR="00AA0D0B">
        <w:rPr>
          <w:rFonts w:eastAsia="Times New Roman" w:cs="Times New Roman"/>
          <w:szCs w:val="24"/>
        </w:rPr>
        <w:t>[t]</w:t>
      </w:r>
      <w:r w:rsidR="00434378" w:rsidRPr="006B4DC8">
        <w:rPr>
          <w:rFonts w:eastAsia="Times New Roman" w:cs="Times New Roman"/>
          <w:szCs w:val="24"/>
        </w:rPr>
        <w:t xml:space="preserve">he requirement of a written standard regarding the copyright on a specially commissioned work is not merely a statute of frauds, although that is the purpose emphasized by the cases.  </w:t>
      </w:r>
      <w:r w:rsidRPr="006B4DC8">
        <w:rPr>
          <w:rFonts w:eastAsia="Times New Roman" w:cs="Times New Roman"/>
          <w:szCs w:val="24"/>
        </w:rPr>
        <w:t xml:space="preserve">That is, it is not only designed to protect people against false claims of oral agreements.”  </w:t>
      </w:r>
      <w:r w:rsidR="00850A17" w:rsidRPr="00850A17">
        <w:rPr>
          <w:rFonts w:eastAsia="Times New Roman" w:cs="Times New Roman"/>
          <w:szCs w:val="24"/>
        </w:rPr>
        <w:t>969 F.2d</w:t>
      </w:r>
      <w:r w:rsidRPr="00850A17">
        <w:rPr>
          <w:rFonts w:eastAsia="Times New Roman" w:cs="Times New Roman"/>
          <w:szCs w:val="24"/>
        </w:rPr>
        <w:t xml:space="preserve"> at 412.</w:t>
      </w:r>
      <w:r w:rsidRPr="006B4DC8">
        <w:rPr>
          <w:rFonts w:eastAsia="Times New Roman" w:cs="Times New Roman"/>
          <w:szCs w:val="24"/>
        </w:rPr>
        <w:t xml:space="preserve">  Memorializing such agreements in writing prior to completion helps establish evidence of the parties’ true intent, which may go towards protecting those with less bargaining power.</w:t>
      </w:r>
    </w:p>
    <w:p w14:paraId="02A7FBB4" w14:textId="77777777" w:rsidR="003877F0" w:rsidRDefault="000774BA" w:rsidP="00131BE3">
      <w:pPr>
        <w:ind w:firstLine="720"/>
        <w:rPr>
          <w:rFonts w:eastAsia="Times New Roman" w:cs="Times New Roman"/>
          <w:b/>
          <w:szCs w:val="24"/>
        </w:rPr>
      </w:pPr>
      <w:r>
        <w:rPr>
          <w:rFonts w:eastAsia="Times New Roman" w:cs="Times New Roman"/>
          <w:szCs w:val="24"/>
        </w:rPr>
        <w:t>Requiring written agreements to serve as evidence of works made for hire is a sensible and logical policy goal.  And if one agrees that the entire premise of a copyright law regime is to identify exactly who owns the rights to a given work, “</w:t>
      </w:r>
      <w:r w:rsidR="00AA0D0B">
        <w:rPr>
          <w:rFonts w:eastAsia="Times New Roman" w:cs="Times New Roman"/>
          <w:szCs w:val="24"/>
        </w:rPr>
        <w:t>[t]</w:t>
      </w:r>
      <w:r>
        <w:rPr>
          <w:rFonts w:eastAsia="Times New Roman" w:cs="Times New Roman"/>
          <w:szCs w:val="24"/>
        </w:rPr>
        <w:t>he optimal time for a work for hire agreement to be reduced to writing is before the work is created</w:t>
      </w:r>
      <w:r w:rsidR="00AA0D0B">
        <w:rPr>
          <w:rFonts w:eastAsia="Times New Roman" w:cs="Times New Roman"/>
          <w:szCs w:val="24"/>
        </w:rPr>
        <w:t xml:space="preserve"> . . . .</w:t>
      </w:r>
      <w:r>
        <w:rPr>
          <w:rFonts w:eastAsia="Times New Roman" w:cs="Times New Roman"/>
          <w:szCs w:val="24"/>
        </w:rPr>
        <w:t>”  Salzmann</w:t>
      </w:r>
      <w:r w:rsidR="00EE5D80">
        <w:rPr>
          <w:rFonts w:eastAsia="Times New Roman" w:cs="Times New Roman"/>
          <w:szCs w:val="24"/>
        </w:rPr>
        <w:t xml:space="preserve">, </w:t>
      </w:r>
      <w:r w:rsidR="00EE5D80">
        <w:rPr>
          <w:rFonts w:eastAsia="Times New Roman" w:cs="Times New Roman"/>
          <w:i/>
          <w:szCs w:val="24"/>
        </w:rPr>
        <w:t>supra</w:t>
      </w:r>
      <w:r w:rsidR="00EE5D80">
        <w:rPr>
          <w:rFonts w:eastAsia="Times New Roman" w:cs="Times New Roman"/>
          <w:szCs w:val="24"/>
        </w:rPr>
        <w:t>, at</w:t>
      </w:r>
      <w:r>
        <w:rPr>
          <w:rFonts w:eastAsia="Times New Roman" w:cs="Times New Roman"/>
          <w:szCs w:val="24"/>
        </w:rPr>
        <w:t xml:space="preserve"> 525.  </w:t>
      </w:r>
    </w:p>
    <w:p w14:paraId="016FEAEE" w14:textId="77777777" w:rsidR="00EE737E" w:rsidRDefault="005933D7" w:rsidP="005933D7">
      <w:pPr>
        <w:ind w:firstLine="720"/>
        <w:rPr>
          <w:rFonts w:eastAsia="Times New Roman" w:cs="Times New Roman"/>
          <w:szCs w:val="24"/>
        </w:rPr>
      </w:pPr>
      <w:r>
        <w:rPr>
          <w:rFonts w:eastAsia="Times New Roman" w:cs="Times New Roman"/>
          <w:szCs w:val="24"/>
        </w:rPr>
        <w:t>The certainty promoted by bright-line rules in copyright law serves an important public economic interest.</w:t>
      </w:r>
      <w:r w:rsidR="001D39A0">
        <w:rPr>
          <w:rFonts w:eastAsia="Times New Roman" w:cs="Times New Roman"/>
          <w:szCs w:val="24"/>
        </w:rPr>
        <w:t xml:space="preserve">  Copyright law inherently deals with things of such value that people are willing to spend time and energy to be officially recognized as their </w:t>
      </w:r>
      <w:r w:rsidR="00EE737E">
        <w:rPr>
          <w:rFonts w:eastAsia="Times New Roman" w:cs="Times New Roman"/>
          <w:szCs w:val="24"/>
        </w:rPr>
        <w:t xml:space="preserve">creators, authors, or owners so that they can reap their benefits.  As the Seventh Circuit argues, “the signed-statement requirement in section 101(2) has a second purpose—to make the ownership of property rights in intellectual property clear and definite, so that such property will be readily marketable.”  </w:t>
      </w:r>
      <w:r w:rsidR="00EE737E" w:rsidRPr="00EE5D80">
        <w:rPr>
          <w:rFonts w:eastAsia="Times New Roman" w:cs="Times New Roman"/>
          <w:i/>
          <w:szCs w:val="24"/>
        </w:rPr>
        <w:t>Schiller &amp; Schmidt</w:t>
      </w:r>
      <w:r w:rsidR="00EE5D80">
        <w:rPr>
          <w:rFonts w:eastAsia="Times New Roman" w:cs="Times New Roman"/>
          <w:szCs w:val="24"/>
        </w:rPr>
        <w:t>, 969 F.2d at</w:t>
      </w:r>
      <w:r w:rsidR="00EE737E">
        <w:rPr>
          <w:rFonts w:eastAsia="Times New Roman" w:cs="Times New Roman"/>
          <w:szCs w:val="24"/>
        </w:rPr>
        <w:t xml:space="preserve"> 412.  </w:t>
      </w:r>
    </w:p>
    <w:p w14:paraId="3D946B54" w14:textId="77777777" w:rsidR="00785068" w:rsidRDefault="00EE737E" w:rsidP="005933D7">
      <w:pPr>
        <w:ind w:firstLine="720"/>
        <w:rPr>
          <w:rFonts w:eastAsia="Times New Roman" w:cs="Times New Roman"/>
          <w:szCs w:val="24"/>
        </w:rPr>
      </w:pPr>
      <w:r>
        <w:rPr>
          <w:rFonts w:eastAsia="Times New Roman" w:cs="Times New Roman"/>
          <w:szCs w:val="24"/>
        </w:rPr>
        <w:t>One does not need to possess an encyclopedic knowledge of economics to understand why this certainty is important.  It serves as a quick, official recognition that parties entering into a transaction need not worry about the externalities that would be presented by costly legal battles.</w:t>
      </w:r>
      <w:r w:rsidR="00AF7EE8">
        <w:rPr>
          <w:rFonts w:eastAsia="Times New Roman" w:cs="Times New Roman"/>
          <w:szCs w:val="24"/>
        </w:rPr>
        <w:t xml:space="preserve">  People are much more willing to participate in the market when they are able to avail </w:t>
      </w:r>
      <w:r w:rsidR="00AF7EE8">
        <w:rPr>
          <w:rFonts w:eastAsia="Times New Roman" w:cs="Times New Roman"/>
          <w:szCs w:val="24"/>
        </w:rPr>
        <w:lastRenderedPageBreak/>
        <w:t>themselves of more complete information.  Allowing works made for hire to be designated as such far into the future means that whatever information is available is necessarily incomplete, since the specter of copyright ownership can rear its head at any time.</w:t>
      </w:r>
      <w:r>
        <w:rPr>
          <w:rFonts w:eastAsia="Times New Roman" w:cs="Times New Roman"/>
          <w:szCs w:val="24"/>
        </w:rPr>
        <w:t xml:space="preserve">  </w:t>
      </w:r>
      <w:r w:rsidR="001D39A0">
        <w:rPr>
          <w:rFonts w:eastAsia="Times New Roman" w:cs="Times New Roman"/>
          <w:szCs w:val="24"/>
        </w:rPr>
        <w:t xml:space="preserve">  </w:t>
      </w:r>
      <w:r w:rsidR="005933D7">
        <w:rPr>
          <w:rFonts w:eastAsia="Times New Roman" w:cs="Times New Roman"/>
          <w:szCs w:val="24"/>
        </w:rPr>
        <w:t xml:space="preserve">  </w:t>
      </w:r>
    </w:p>
    <w:p w14:paraId="01E64F34" w14:textId="77777777" w:rsidR="005933D7" w:rsidRDefault="00785068" w:rsidP="005933D7">
      <w:pPr>
        <w:ind w:firstLine="720"/>
        <w:rPr>
          <w:rFonts w:eastAsia="Times New Roman" w:cs="Times New Roman"/>
          <w:szCs w:val="24"/>
        </w:rPr>
      </w:pPr>
      <w:r>
        <w:rPr>
          <w:rFonts w:eastAsia="Times New Roman" w:cs="Times New Roman"/>
          <w:szCs w:val="24"/>
        </w:rPr>
        <w:t xml:space="preserve">Additionally, a strict construction of the work made for hire requirements allows for the public to enjoy and use copyrighted material.  Recognizing the fair use doctrine, which </w:t>
      </w:r>
      <w:r w:rsidR="001D39A0">
        <w:rPr>
          <w:rFonts w:eastAsia="Times New Roman" w:cs="Times New Roman"/>
          <w:szCs w:val="24"/>
        </w:rPr>
        <w:t xml:space="preserve">serves as the legal basis for such </w:t>
      </w:r>
      <w:r w:rsidR="00AA0D0B">
        <w:rPr>
          <w:rFonts w:eastAsia="Times New Roman" w:cs="Times New Roman"/>
          <w:szCs w:val="24"/>
        </w:rPr>
        <w:t>notions as parody and satire, “[i]</w:t>
      </w:r>
      <w:r w:rsidR="001D39A0">
        <w:rPr>
          <w:rFonts w:eastAsia="Times New Roman" w:cs="Times New Roman"/>
          <w:szCs w:val="24"/>
        </w:rPr>
        <w:t>n order to prevent surprise to third parties who may not know the true holder of the copyright, it makes sense to require the work for hire writing be signed before the work is completed.”  Salzmann</w:t>
      </w:r>
      <w:r w:rsidR="00EE5D80">
        <w:rPr>
          <w:rFonts w:eastAsia="Times New Roman" w:cs="Times New Roman"/>
          <w:szCs w:val="24"/>
        </w:rPr>
        <w:t xml:space="preserve">, </w:t>
      </w:r>
      <w:r w:rsidR="00EE5D80">
        <w:rPr>
          <w:rFonts w:eastAsia="Times New Roman" w:cs="Times New Roman"/>
          <w:i/>
          <w:szCs w:val="24"/>
        </w:rPr>
        <w:t>supra</w:t>
      </w:r>
      <w:r w:rsidR="00EE5D80">
        <w:rPr>
          <w:rFonts w:eastAsia="Times New Roman" w:cs="Times New Roman"/>
          <w:szCs w:val="24"/>
        </w:rPr>
        <w:t>, at</w:t>
      </w:r>
      <w:r w:rsidR="001D39A0">
        <w:rPr>
          <w:rFonts w:eastAsia="Times New Roman" w:cs="Times New Roman"/>
          <w:szCs w:val="24"/>
        </w:rPr>
        <w:t xml:space="preserve"> 518.</w:t>
      </w:r>
      <w:r w:rsidR="00AF7EE8">
        <w:rPr>
          <w:rFonts w:eastAsia="Times New Roman" w:cs="Times New Roman"/>
          <w:szCs w:val="24"/>
        </w:rPr>
        <w:t xml:space="preserve">  Again, people are much more willing to innovate and expand upon intellectual property when they are assured that paralyzing legal issues will not come up.</w:t>
      </w:r>
      <w:r w:rsidR="001D39A0">
        <w:rPr>
          <w:rFonts w:eastAsia="Times New Roman" w:cs="Times New Roman"/>
          <w:szCs w:val="24"/>
        </w:rPr>
        <w:t xml:space="preserve"> </w:t>
      </w:r>
      <w:r w:rsidR="005933D7">
        <w:rPr>
          <w:rFonts w:eastAsia="Times New Roman" w:cs="Times New Roman"/>
          <w:szCs w:val="24"/>
        </w:rPr>
        <w:t xml:space="preserve"> </w:t>
      </w:r>
    </w:p>
    <w:p w14:paraId="7B792E84" w14:textId="77777777" w:rsidR="00FD09B8" w:rsidRPr="00A70C43" w:rsidRDefault="00A70C43" w:rsidP="00A70C43">
      <w:pPr>
        <w:pStyle w:val="ListParagraph"/>
        <w:numPr>
          <w:ilvl w:val="1"/>
          <w:numId w:val="1"/>
        </w:numPr>
        <w:spacing w:line="240" w:lineRule="auto"/>
        <w:rPr>
          <w:rFonts w:eastAsia="Times New Roman" w:cs="Times New Roman"/>
          <w:b/>
          <w:szCs w:val="24"/>
        </w:rPr>
      </w:pPr>
      <w:r w:rsidRPr="00A70C43">
        <w:rPr>
          <w:rFonts w:eastAsia="Times New Roman" w:cs="Times New Roman"/>
          <w:b/>
          <w:szCs w:val="24"/>
        </w:rPr>
        <w:t xml:space="preserve">The rule of lenity requires </w:t>
      </w:r>
      <w:r w:rsidR="00A55079">
        <w:rPr>
          <w:rFonts w:eastAsia="Times New Roman" w:cs="Times New Roman"/>
          <w:b/>
          <w:szCs w:val="24"/>
        </w:rPr>
        <w:t>ambiguities in the Act to be resolved in favor of Defendants</w:t>
      </w:r>
      <w:r w:rsidRPr="00A70C43">
        <w:rPr>
          <w:rFonts w:eastAsia="Times New Roman" w:cs="Times New Roman"/>
          <w:b/>
          <w:szCs w:val="24"/>
        </w:rPr>
        <w:t>.</w:t>
      </w:r>
    </w:p>
    <w:p w14:paraId="72FA79BC" w14:textId="77777777" w:rsidR="00A70C43" w:rsidRPr="00A70C43" w:rsidRDefault="00A70C43" w:rsidP="00A70C43">
      <w:pPr>
        <w:pStyle w:val="ListParagraph"/>
        <w:spacing w:line="240" w:lineRule="auto"/>
        <w:ind w:left="1440"/>
        <w:rPr>
          <w:rFonts w:eastAsia="Times New Roman" w:cs="Times New Roman"/>
          <w:b/>
          <w:szCs w:val="24"/>
        </w:rPr>
      </w:pPr>
    </w:p>
    <w:p w14:paraId="0E1D14EA" w14:textId="77777777" w:rsidR="00850251" w:rsidRDefault="00A70C43" w:rsidP="00A70C43">
      <w:pPr>
        <w:ind w:firstLine="720"/>
        <w:rPr>
          <w:rFonts w:eastAsia="Times New Roman" w:cs="Times New Roman"/>
          <w:szCs w:val="24"/>
        </w:rPr>
      </w:pPr>
      <w:r w:rsidRPr="00A70C43">
        <w:rPr>
          <w:rFonts w:eastAsia="Times New Roman" w:cs="Times New Roman"/>
          <w:szCs w:val="24"/>
        </w:rPr>
        <w:t xml:space="preserve">An </w:t>
      </w:r>
      <w:r w:rsidRPr="00A55079">
        <w:rPr>
          <w:rFonts w:eastAsia="Times New Roman" w:cs="Times New Roman"/>
          <w:szCs w:val="24"/>
        </w:rPr>
        <w:t>important canon of statutory interpretation that is implicated in this discussion is the rule of lenity.  Due to the</w:t>
      </w:r>
      <w:r w:rsidRPr="00A70C43">
        <w:rPr>
          <w:rFonts w:eastAsia="Times New Roman" w:cs="Times New Roman"/>
          <w:szCs w:val="24"/>
        </w:rPr>
        <w:t xml:space="preserve"> criminal aspects of the Act, this would require the court to</w:t>
      </w:r>
      <w:r w:rsidR="00A55079">
        <w:rPr>
          <w:rFonts w:eastAsia="Times New Roman" w:cs="Times New Roman"/>
          <w:szCs w:val="24"/>
        </w:rPr>
        <w:t xml:space="preserve"> take the side of Defendants in interpreting still-ambiguous passages.  </w:t>
      </w:r>
      <w:r w:rsidR="005924B3">
        <w:rPr>
          <w:rFonts w:eastAsia="Times New Roman" w:cs="Times New Roman"/>
          <w:szCs w:val="24"/>
        </w:rPr>
        <w:t xml:space="preserve">Even if the court is unable to determine the meaning of the work made for hire provisions of the Act after examining plain meaning, intent of Congress, and policy considerations, “when choice has to be made between two readings . . . </w:t>
      </w:r>
      <w:r w:rsidR="00E93FB4">
        <w:rPr>
          <w:rFonts w:eastAsia="Times New Roman" w:cs="Times New Roman"/>
          <w:szCs w:val="24"/>
        </w:rPr>
        <w:t xml:space="preserve">, </w:t>
      </w:r>
      <w:r w:rsidR="005924B3">
        <w:rPr>
          <w:rFonts w:eastAsia="Times New Roman" w:cs="Times New Roman"/>
          <w:szCs w:val="24"/>
        </w:rPr>
        <w:t xml:space="preserve">it is appropriate, before we choose the harsher alternative, to require that Congress should have spoken in language that is clear and definite.”  </w:t>
      </w:r>
      <w:r w:rsidR="005924B3">
        <w:rPr>
          <w:rFonts w:eastAsia="Times New Roman" w:cs="Times New Roman"/>
          <w:i/>
          <w:szCs w:val="24"/>
        </w:rPr>
        <w:t>U.S. v. Universal C. I. T. Credit Corp.</w:t>
      </w:r>
      <w:r w:rsidR="005924B3">
        <w:rPr>
          <w:rFonts w:eastAsia="Times New Roman" w:cs="Times New Roman"/>
          <w:szCs w:val="24"/>
        </w:rPr>
        <w:t>, 344 U.S. 218, 229 (1952).</w:t>
      </w:r>
      <w:r w:rsidR="00850251">
        <w:rPr>
          <w:rFonts w:eastAsia="Times New Roman" w:cs="Times New Roman"/>
          <w:szCs w:val="24"/>
        </w:rPr>
        <w:t xml:space="preserve">  In essence, “the tie must go to the defendant.”  </w:t>
      </w:r>
      <w:r w:rsidR="00850251">
        <w:rPr>
          <w:rFonts w:eastAsia="Times New Roman" w:cs="Times New Roman"/>
          <w:i/>
          <w:szCs w:val="24"/>
        </w:rPr>
        <w:t>U.S. v. Santos</w:t>
      </w:r>
      <w:r w:rsidR="00850251">
        <w:rPr>
          <w:rFonts w:eastAsia="Times New Roman" w:cs="Times New Roman"/>
          <w:szCs w:val="24"/>
        </w:rPr>
        <w:t>, 553 U.S. 507, 514 (2008).</w:t>
      </w:r>
    </w:p>
    <w:p w14:paraId="0CB812FA" w14:textId="77777777" w:rsidR="00A70C43" w:rsidRPr="00A70C43" w:rsidRDefault="00850251" w:rsidP="00A70C43">
      <w:pPr>
        <w:ind w:firstLine="720"/>
        <w:rPr>
          <w:rFonts w:eastAsia="Times New Roman" w:cs="Times New Roman"/>
          <w:szCs w:val="24"/>
        </w:rPr>
      </w:pPr>
      <w:r>
        <w:rPr>
          <w:rFonts w:eastAsia="Times New Roman" w:cs="Times New Roman"/>
          <w:szCs w:val="24"/>
        </w:rPr>
        <w:t xml:space="preserve">This canon, in addition to serving important civil rights issues, is intertwined with several aforementioned arguments in favor of a strict interpretation of the Act.  </w:t>
      </w:r>
      <w:r w:rsidR="00BE477F">
        <w:rPr>
          <w:rFonts w:eastAsia="Times New Roman" w:cs="Times New Roman"/>
          <w:szCs w:val="24"/>
        </w:rPr>
        <w:t xml:space="preserve">This canon neatly reflects the need for clarity and predictability in law, including copyright law, as “[t]his </w:t>
      </w:r>
      <w:r w:rsidR="00BE477F">
        <w:rPr>
          <w:rFonts w:eastAsia="Times New Roman" w:cs="Times New Roman"/>
          <w:szCs w:val="24"/>
        </w:rPr>
        <w:lastRenderedPageBreak/>
        <w:t xml:space="preserve">venerable rule not only vindicates the fundamental principle that no citizen should be held accountable for a violation of a statute whose commands are uncertain . . . .  It also places the weight of inertia upon the party that can best induce Congress to speak more clearly . . . .”  </w:t>
      </w:r>
      <w:r w:rsidR="00BE477F">
        <w:rPr>
          <w:rFonts w:eastAsia="Times New Roman" w:cs="Times New Roman"/>
          <w:i/>
          <w:szCs w:val="24"/>
        </w:rPr>
        <w:t>Id</w:t>
      </w:r>
      <w:r w:rsidR="00BE477F">
        <w:rPr>
          <w:rFonts w:eastAsia="Times New Roman" w:cs="Times New Roman"/>
          <w:szCs w:val="24"/>
        </w:rPr>
        <w:t xml:space="preserve">.    </w:t>
      </w:r>
      <w:r w:rsidR="00A55079">
        <w:rPr>
          <w:rFonts w:eastAsia="Times New Roman" w:cs="Times New Roman"/>
          <w:szCs w:val="24"/>
        </w:rPr>
        <w:t xml:space="preserve"> </w:t>
      </w:r>
      <w:r w:rsidR="00A70C43" w:rsidRPr="00A70C43">
        <w:rPr>
          <w:rFonts w:eastAsia="Times New Roman" w:cs="Times New Roman"/>
          <w:szCs w:val="24"/>
        </w:rPr>
        <w:t xml:space="preserve"> </w:t>
      </w:r>
    </w:p>
    <w:p w14:paraId="0CBCBC9E" w14:textId="77777777" w:rsidR="008B7026" w:rsidRDefault="008B7026" w:rsidP="008B7026">
      <w:pPr>
        <w:jc w:val="center"/>
        <w:rPr>
          <w:rFonts w:eastAsia="Times New Roman" w:cs="Times New Roman"/>
          <w:b/>
          <w:szCs w:val="24"/>
        </w:rPr>
      </w:pPr>
      <w:r>
        <w:rPr>
          <w:rFonts w:eastAsia="Times New Roman" w:cs="Times New Roman"/>
          <w:b/>
          <w:szCs w:val="24"/>
        </w:rPr>
        <w:t>CONCLUSION</w:t>
      </w:r>
    </w:p>
    <w:p w14:paraId="3F9CAAED" w14:textId="77777777" w:rsidR="008B7026" w:rsidRDefault="008B7026" w:rsidP="008B7026">
      <w:pPr>
        <w:rPr>
          <w:rFonts w:eastAsia="Times New Roman" w:cs="Times New Roman"/>
          <w:szCs w:val="24"/>
        </w:rPr>
      </w:pPr>
      <w:r>
        <w:rPr>
          <w:rFonts w:eastAsia="Times New Roman" w:cs="Times New Roman"/>
          <w:szCs w:val="24"/>
        </w:rPr>
        <w:tab/>
      </w:r>
      <w:r w:rsidR="00F4224D">
        <w:rPr>
          <w:rFonts w:eastAsia="Times New Roman" w:cs="Times New Roman"/>
          <w:szCs w:val="24"/>
        </w:rPr>
        <w:t xml:space="preserve">Plaintiff has failed to state a claim to which relief can be granted.  </w:t>
      </w:r>
      <w:r w:rsidR="00333E05">
        <w:rPr>
          <w:rFonts w:eastAsia="Times New Roman" w:cs="Times New Roman"/>
          <w:szCs w:val="24"/>
        </w:rPr>
        <w:t>T</w:t>
      </w:r>
      <w:r w:rsidR="00F4224D">
        <w:rPr>
          <w:rFonts w:eastAsia="Times New Roman" w:cs="Times New Roman"/>
          <w:szCs w:val="24"/>
        </w:rPr>
        <w:t xml:space="preserve">he plain language of the Act makes clear the requirement of a written agreement executed prior to creation of a work in order to have said work </w:t>
      </w:r>
      <w:r w:rsidR="00F4224D" w:rsidRPr="00EE25A1">
        <w:rPr>
          <w:rFonts w:eastAsia="Times New Roman" w:cs="Times New Roman"/>
          <w:szCs w:val="24"/>
        </w:rPr>
        <w:t>be recognized</w:t>
      </w:r>
      <w:r w:rsidR="00F4224D">
        <w:rPr>
          <w:rFonts w:eastAsia="Times New Roman" w:cs="Times New Roman"/>
          <w:szCs w:val="24"/>
        </w:rPr>
        <w:t xml:space="preserve"> as a work made for hire.  </w:t>
      </w:r>
      <w:r w:rsidR="00EE25A1">
        <w:rPr>
          <w:rFonts w:eastAsia="Times New Roman" w:cs="Times New Roman"/>
          <w:szCs w:val="24"/>
        </w:rPr>
        <w:t>In addition</w:t>
      </w:r>
      <w:r w:rsidR="00333E05">
        <w:rPr>
          <w:rFonts w:eastAsia="Times New Roman" w:cs="Times New Roman"/>
          <w:szCs w:val="24"/>
        </w:rPr>
        <w:t>, the intent of Congress</w:t>
      </w:r>
      <w:r w:rsidR="00F4224D">
        <w:rPr>
          <w:rFonts w:eastAsia="Times New Roman" w:cs="Times New Roman"/>
          <w:szCs w:val="24"/>
        </w:rPr>
        <w:t xml:space="preserve"> does not support the </w:t>
      </w:r>
      <w:r w:rsidR="00333E05">
        <w:rPr>
          <w:rFonts w:eastAsia="Times New Roman" w:cs="Times New Roman"/>
          <w:szCs w:val="24"/>
        </w:rPr>
        <w:t xml:space="preserve">loose </w:t>
      </w:r>
      <w:r w:rsidR="00F4224D">
        <w:rPr>
          <w:rFonts w:eastAsia="Times New Roman" w:cs="Times New Roman"/>
          <w:szCs w:val="24"/>
        </w:rPr>
        <w:t xml:space="preserve">interpretation of the statute advocated by Plaintiff.  </w:t>
      </w:r>
      <w:r w:rsidR="00A70C43">
        <w:rPr>
          <w:rFonts w:eastAsia="Times New Roman" w:cs="Times New Roman"/>
          <w:szCs w:val="24"/>
        </w:rPr>
        <w:t>Also</w:t>
      </w:r>
      <w:r w:rsidR="00333E05">
        <w:rPr>
          <w:rFonts w:eastAsia="Times New Roman" w:cs="Times New Roman"/>
          <w:szCs w:val="24"/>
        </w:rPr>
        <w:t>, t</w:t>
      </w:r>
      <w:r w:rsidR="00F4224D">
        <w:rPr>
          <w:rFonts w:eastAsia="Times New Roman" w:cs="Times New Roman"/>
          <w:szCs w:val="24"/>
        </w:rPr>
        <w:t xml:space="preserve">he argument put forth by Plaintiff runs counter to the important policy </w:t>
      </w:r>
      <w:r w:rsidR="00333E05">
        <w:rPr>
          <w:rFonts w:eastAsia="Times New Roman" w:cs="Times New Roman"/>
          <w:szCs w:val="24"/>
        </w:rPr>
        <w:t>consideration</w:t>
      </w:r>
      <w:r w:rsidR="00F4224D">
        <w:rPr>
          <w:rFonts w:eastAsia="Times New Roman" w:cs="Times New Roman"/>
          <w:szCs w:val="24"/>
        </w:rPr>
        <w:t xml:space="preserve"> of making copyright law clear and understandable for the use of the public.  </w:t>
      </w:r>
      <w:r w:rsidR="00A70C43">
        <w:rPr>
          <w:rFonts w:eastAsia="Times New Roman" w:cs="Times New Roman"/>
          <w:szCs w:val="24"/>
        </w:rPr>
        <w:t xml:space="preserve">Finally, the rule of lenity requires a court to resolve ambiguities on the side of Defendants.  </w:t>
      </w:r>
      <w:r w:rsidR="00F4224D">
        <w:rPr>
          <w:rFonts w:eastAsia="Times New Roman" w:cs="Times New Roman"/>
          <w:szCs w:val="24"/>
        </w:rPr>
        <w:t xml:space="preserve">It is for these reasons that Defendants respectfully urge this court </w:t>
      </w:r>
      <w:r w:rsidR="00333E05">
        <w:rPr>
          <w:rFonts w:eastAsia="Times New Roman" w:cs="Times New Roman"/>
          <w:szCs w:val="24"/>
        </w:rPr>
        <w:t xml:space="preserve">to </w:t>
      </w:r>
      <w:r w:rsidR="00F4224D">
        <w:rPr>
          <w:rFonts w:eastAsia="Times New Roman" w:cs="Times New Roman"/>
          <w:szCs w:val="24"/>
        </w:rPr>
        <w:t xml:space="preserve">grant Defendants’ Motion to Dismiss. </w:t>
      </w:r>
    </w:p>
    <w:p w14:paraId="78562268" w14:textId="77777777" w:rsidR="008B7026" w:rsidRDefault="008B7026" w:rsidP="008B7026">
      <w:pPr>
        <w:rPr>
          <w:rFonts w:eastAsia="Times New Roman" w:cs="Times New Roman"/>
          <w:szCs w:val="24"/>
        </w:rPr>
      </w:pPr>
    </w:p>
    <w:p w14:paraId="1B72E798" w14:textId="77777777" w:rsidR="008B7026" w:rsidRDefault="000A63B3" w:rsidP="008B7026">
      <w:pPr>
        <w:rPr>
          <w:rFonts w:eastAsia="Times New Roman" w:cs="Times New Roman"/>
          <w:szCs w:val="24"/>
        </w:rPr>
      </w:pPr>
      <w:r>
        <w:rPr>
          <w:rFonts w:eastAsia="Times New Roman" w:cs="Times New Roman"/>
          <w:szCs w:val="24"/>
        </w:rPr>
        <w:t>Dated:  March 22</w:t>
      </w:r>
      <w:r w:rsidR="008B7026">
        <w:rPr>
          <w:rFonts w:eastAsia="Times New Roman" w:cs="Times New Roman"/>
          <w:szCs w:val="24"/>
        </w:rPr>
        <w:t>, 2012</w:t>
      </w:r>
      <w:r w:rsidR="008B7026">
        <w:rPr>
          <w:rFonts w:eastAsia="Times New Roman" w:cs="Times New Roman"/>
          <w:szCs w:val="24"/>
        </w:rPr>
        <w:tab/>
      </w:r>
      <w:r w:rsidR="008B7026">
        <w:rPr>
          <w:rFonts w:eastAsia="Times New Roman" w:cs="Times New Roman"/>
          <w:szCs w:val="24"/>
        </w:rPr>
        <w:tab/>
      </w:r>
      <w:r w:rsidR="008B7026">
        <w:rPr>
          <w:rFonts w:eastAsia="Times New Roman" w:cs="Times New Roman"/>
          <w:szCs w:val="24"/>
        </w:rPr>
        <w:tab/>
      </w:r>
      <w:r w:rsidR="008B7026">
        <w:rPr>
          <w:rFonts w:eastAsia="Times New Roman" w:cs="Times New Roman"/>
          <w:szCs w:val="24"/>
        </w:rPr>
        <w:tab/>
      </w:r>
      <w:r w:rsidR="008B7026">
        <w:rPr>
          <w:rFonts w:eastAsia="Times New Roman" w:cs="Times New Roman"/>
          <w:szCs w:val="24"/>
        </w:rPr>
        <w:tab/>
        <w:t>Respectfully submitted,</w:t>
      </w:r>
    </w:p>
    <w:p w14:paraId="222B76C8" w14:textId="77777777" w:rsidR="008B7026" w:rsidRDefault="008B7026" w:rsidP="008B7026">
      <w:pPr>
        <w:spacing w:line="240" w:lineRule="auto"/>
        <w:rPr>
          <w:rFonts w:eastAsia="Times New Roman" w:cs="Times New Roman"/>
          <w:szCs w:val="24"/>
        </w:rPr>
      </w:pP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t>__________________________</w:t>
      </w:r>
    </w:p>
    <w:p w14:paraId="787891D9" w14:textId="77777777" w:rsidR="008B7026" w:rsidRDefault="008B7026" w:rsidP="008B7026">
      <w:pPr>
        <w:spacing w:line="240" w:lineRule="auto"/>
        <w:rPr>
          <w:rFonts w:eastAsia="Times New Roman" w:cs="Times New Roman"/>
          <w:szCs w:val="24"/>
        </w:rPr>
      </w:pP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sidR="003B0DFE">
        <w:rPr>
          <w:rFonts w:eastAsia="Times New Roman" w:cs="Times New Roman"/>
          <w:szCs w:val="24"/>
        </w:rPr>
        <w:t>NAME OF ATTORNEY</w:t>
      </w:r>
    </w:p>
    <w:p w14:paraId="188DD35C" w14:textId="51A50CDA" w:rsidR="008B7026" w:rsidRDefault="008B7026" w:rsidP="00E3671D">
      <w:pPr>
        <w:spacing w:line="240" w:lineRule="auto"/>
        <w:rPr>
          <w:rFonts w:eastAsia="Times New Roman" w:cs="Times New Roman"/>
          <w:szCs w:val="24"/>
        </w:rPr>
      </w:pP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sidR="00E3671D">
        <w:rPr>
          <w:rFonts w:eastAsia="Times New Roman" w:cs="Times New Roman"/>
          <w:szCs w:val="24"/>
        </w:rPr>
        <w:t>&lt;redacted&gt;&lt;/redacted&gt;</w:t>
      </w:r>
      <w:bookmarkStart w:id="0" w:name="_GoBack"/>
      <w:bookmarkEnd w:id="0"/>
    </w:p>
    <w:p w14:paraId="13F2210E" w14:textId="77777777" w:rsidR="003B0DFE" w:rsidRDefault="003B0DFE" w:rsidP="008B7026">
      <w:pPr>
        <w:spacing w:line="240" w:lineRule="auto"/>
        <w:rPr>
          <w:rFonts w:eastAsia="Times New Roman" w:cs="Times New Roman"/>
          <w:szCs w:val="24"/>
        </w:rPr>
      </w:pP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t>TELEPHONE</w:t>
      </w:r>
    </w:p>
    <w:p w14:paraId="4AEAC524" w14:textId="77777777" w:rsidR="008B7026" w:rsidRDefault="008B7026" w:rsidP="008B7026">
      <w:pPr>
        <w:spacing w:line="240" w:lineRule="auto"/>
        <w:rPr>
          <w:rFonts w:eastAsia="Times New Roman" w:cs="Times New Roman"/>
          <w:szCs w:val="24"/>
        </w:rPr>
      </w:pP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sidR="003B0DFE">
        <w:rPr>
          <w:rFonts w:eastAsia="Times New Roman" w:cs="Times New Roman"/>
          <w:szCs w:val="24"/>
        </w:rPr>
        <w:t>E-MAIL</w:t>
      </w:r>
    </w:p>
    <w:p w14:paraId="2B99D29E" w14:textId="77777777" w:rsidR="008B7026" w:rsidRDefault="008B7026" w:rsidP="008B7026">
      <w:pPr>
        <w:spacing w:line="240" w:lineRule="auto"/>
        <w:rPr>
          <w:rFonts w:eastAsia="Times New Roman" w:cs="Times New Roman"/>
          <w:szCs w:val="24"/>
        </w:rPr>
      </w:pPr>
    </w:p>
    <w:p w14:paraId="4731B763" w14:textId="77777777" w:rsidR="008B7026" w:rsidRPr="008B7026" w:rsidRDefault="008B7026" w:rsidP="008B7026">
      <w:pPr>
        <w:spacing w:line="240" w:lineRule="auto"/>
        <w:rPr>
          <w:rFonts w:eastAsia="Times New Roman" w:cs="Times New Roman"/>
          <w:szCs w:val="24"/>
        </w:rPr>
      </w:pP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t>Attorney for Defendants</w:t>
      </w:r>
    </w:p>
    <w:sectPr w:rsidR="008B7026" w:rsidRPr="008B7026" w:rsidSect="00A56117">
      <w:footerReference w:type="default" r:id="rId8"/>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C94BC0" w14:textId="77777777" w:rsidR="001C5546" w:rsidRDefault="001C5546">
      <w:pPr>
        <w:spacing w:line="240" w:lineRule="auto"/>
      </w:pPr>
      <w:r>
        <w:separator/>
      </w:r>
    </w:p>
  </w:endnote>
  <w:endnote w:type="continuationSeparator" w:id="0">
    <w:p w14:paraId="4BF81FF0" w14:textId="77777777" w:rsidR="001C5546" w:rsidRDefault="001C55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4292732"/>
      <w:docPartObj>
        <w:docPartGallery w:val="Page Numbers (Bottom of Page)"/>
        <w:docPartUnique/>
      </w:docPartObj>
    </w:sdtPr>
    <w:sdtEndPr>
      <w:rPr>
        <w:noProof/>
      </w:rPr>
    </w:sdtEndPr>
    <w:sdtContent>
      <w:p w14:paraId="32D62772" w14:textId="77777777" w:rsidR="00A56117" w:rsidRDefault="00A56117">
        <w:pPr>
          <w:pStyle w:val="Footer"/>
          <w:jc w:val="center"/>
        </w:pPr>
        <w:r>
          <w:fldChar w:fldCharType="begin"/>
        </w:r>
        <w:r>
          <w:instrText xml:space="preserve"> PAGE   \* MERGEFORMAT </w:instrText>
        </w:r>
        <w:r>
          <w:fldChar w:fldCharType="separate"/>
        </w:r>
        <w:r w:rsidR="00E3671D">
          <w:rPr>
            <w:noProof/>
          </w:rPr>
          <w:t>14</w:t>
        </w:r>
        <w:r>
          <w:rPr>
            <w:noProof/>
          </w:rPr>
          <w:fldChar w:fldCharType="end"/>
        </w:r>
      </w:p>
    </w:sdtContent>
  </w:sdt>
  <w:p w14:paraId="5CB410BC" w14:textId="77777777" w:rsidR="00A56117" w:rsidRDefault="00A56117" w:rsidP="00EB7293">
    <w:pPr>
      <w:pStyle w:val="Footer"/>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552F73" w14:textId="77777777" w:rsidR="001C5546" w:rsidRDefault="001C5546">
      <w:pPr>
        <w:spacing w:line="240" w:lineRule="auto"/>
      </w:pPr>
      <w:r>
        <w:separator/>
      </w:r>
    </w:p>
  </w:footnote>
  <w:footnote w:type="continuationSeparator" w:id="0">
    <w:p w14:paraId="050CE3D7" w14:textId="77777777" w:rsidR="001C5546" w:rsidRDefault="001C5546">
      <w:pPr>
        <w:spacing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5654DB"/>
    <w:multiLevelType w:val="hybridMultilevel"/>
    <w:tmpl w:val="EFC04238"/>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5363F31"/>
    <w:multiLevelType w:val="hybridMultilevel"/>
    <w:tmpl w:val="C83C60C6"/>
    <w:lvl w:ilvl="0" w:tplc="D5105F20">
      <w:start w:val="1"/>
      <w:numFmt w:val="decimal"/>
      <w:lvlText w:val="%1."/>
      <w:lvlJc w:val="left"/>
      <w:pPr>
        <w:ind w:left="720" w:hanging="360"/>
      </w:pPr>
      <w:rPr>
        <w:rFonts w:eastAsia="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226285"/>
    <w:multiLevelType w:val="hybridMultilevel"/>
    <w:tmpl w:val="40EAAB8A"/>
    <w:lvl w:ilvl="0" w:tplc="04090013">
      <w:start w:val="1"/>
      <w:numFmt w:val="upperRoman"/>
      <w:lvlText w:val="%1."/>
      <w:lvlJc w:val="right"/>
      <w:pPr>
        <w:ind w:left="720" w:hanging="360"/>
      </w:pPr>
    </w:lvl>
    <w:lvl w:ilvl="1" w:tplc="04090015">
      <w:start w:val="1"/>
      <w:numFmt w:val="upp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1B8A"/>
    <w:rsid w:val="000048E4"/>
    <w:rsid w:val="0007166B"/>
    <w:rsid w:val="000774BA"/>
    <w:rsid w:val="000A4C8E"/>
    <w:rsid w:val="000A63B3"/>
    <w:rsid w:val="000C25A0"/>
    <w:rsid w:val="001044D4"/>
    <w:rsid w:val="00120511"/>
    <w:rsid w:val="00131BE3"/>
    <w:rsid w:val="00134ED9"/>
    <w:rsid w:val="001457FF"/>
    <w:rsid w:val="001501B9"/>
    <w:rsid w:val="001A73EB"/>
    <w:rsid w:val="001C5546"/>
    <w:rsid w:val="001D39A0"/>
    <w:rsid w:val="001E65A6"/>
    <w:rsid w:val="00226C52"/>
    <w:rsid w:val="00252E73"/>
    <w:rsid w:val="002A3477"/>
    <w:rsid w:val="002B2FEC"/>
    <w:rsid w:val="002D5A6D"/>
    <w:rsid w:val="002F5247"/>
    <w:rsid w:val="003225E4"/>
    <w:rsid w:val="00333E05"/>
    <w:rsid w:val="00353810"/>
    <w:rsid w:val="003877F0"/>
    <w:rsid w:val="0039202E"/>
    <w:rsid w:val="003B0DFE"/>
    <w:rsid w:val="003E325C"/>
    <w:rsid w:val="004218C3"/>
    <w:rsid w:val="0042263A"/>
    <w:rsid w:val="00434378"/>
    <w:rsid w:val="00450F12"/>
    <w:rsid w:val="0056704C"/>
    <w:rsid w:val="00587906"/>
    <w:rsid w:val="005924B3"/>
    <w:rsid w:val="005933D7"/>
    <w:rsid w:val="005E0A4D"/>
    <w:rsid w:val="00617E49"/>
    <w:rsid w:val="0062719D"/>
    <w:rsid w:val="00642613"/>
    <w:rsid w:val="0065633B"/>
    <w:rsid w:val="006A3A44"/>
    <w:rsid w:val="006B4DC8"/>
    <w:rsid w:val="006C3010"/>
    <w:rsid w:val="006E27FE"/>
    <w:rsid w:val="006E61FF"/>
    <w:rsid w:val="00733025"/>
    <w:rsid w:val="00741130"/>
    <w:rsid w:val="00785068"/>
    <w:rsid w:val="00805C8F"/>
    <w:rsid w:val="00850251"/>
    <w:rsid w:val="00850A17"/>
    <w:rsid w:val="00852479"/>
    <w:rsid w:val="00884D67"/>
    <w:rsid w:val="008B7026"/>
    <w:rsid w:val="008C1A56"/>
    <w:rsid w:val="008F67E1"/>
    <w:rsid w:val="00920B76"/>
    <w:rsid w:val="00921B0A"/>
    <w:rsid w:val="00A33565"/>
    <w:rsid w:val="00A5193E"/>
    <w:rsid w:val="00A55079"/>
    <w:rsid w:val="00A56117"/>
    <w:rsid w:val="00A70C43"/>
    <w:rsid w:val="00A73F2E"/>
    <w:rsid w:val="00A9173A"/>
    <w:rsid w:val="00A95E6C"/>
    <w:rsid w:val="00AA0D0B"/>
    <w:rsid w:val="00AC115C"/>
    <w:rsid w:val="00AF37BF"/>
    <w:rsid w:val="00AF7EE8"/>
    <w:rsid w:val="00B13322"/>
    <w:rsid w:val="00B14CD1"/>
    <w:rsid w:val="00B21B8A"/>
    <w:rsid w:val="00B77739"/>
    <w:rsid w:val="00B86213"/>
    <w:rsid w:val="00BA184F"/>
    <w:rsid w:val="00BB014F"/>
    <w:rsid w:val="00BE0B2C"/>
    <w:rsid w:val="00BE477F"/>
    <w:rsid w:val="00C5707D"/>
    <w:rsid w:val="00CC34ED"/>
    <w:rsid w:val="00CD2391"/>
    <w:rsid w:val="00D048B3"/>
    <w:rsid w:val="00D04EBD"/>
    <w:rsid w:val="00D20E82"/>
    <w:rsid w:val="00D219F4"/>
    <w:rsid w:val="00D223A7"/>
    <w:rsid w:val="00D273D2"/>
    <w:rsid w:val="00D93DA9"/>
    <w:rsid w:val="00DB1F76"/>
    <w:rsid w:val="00DB54C5"/>
    <w:rsid w:val="00E32745"/>
    <w:rsid w:val="00E3671D"/>
    <w:rsid w:val="00E42CD6"/>
    <w:rsid w:val="00E46705"/>
    <w:rsid w:val="00E807A1"/>
    <w:rsid w:val="00E91FB4"/>
    <w:rsid w:val="00E93FB4"/>
    <w:rsid w:val="00E97358"/>
    <w:rsid w:val="00EB7293"/>
    <w:rsid w:val="00EC2CB1"/>
    <w:rsid w:val="00EE25A1"/>
    <w:rsid w:val="00EE5D80"/>
    <w:rsid w:val="00EE737E"/>
    <w:rsid w:val="00EF3B83"/>
    <w:rsid w:val="00F109EF"/>
    <w:rsid w:val="00F326AD"/>
    <w:rsid w:val="00F4224D"/>
    <w:rsid w:val="00F54D8C"/>
    <w:rsid w:val="00F57C39"/>
    <w:rsid w:val="00F856A9"/>
    <w:rsid w:val="00FD09B8"/>
    <w:rsid w:val="00FD55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CC32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1B8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B21B8A"/>
    <w:pPr>
      <w:tabs>
        <w:tab w:val="center" w:pos="4680"/>
        <w:tab w:val="right" w:pos="9360"/>
      </w:tabs>
      <w:spacing w:line="240" w:lineRule="auto"/>
    </w:pPr>
  </w:style>
  <w:style w:type="character" w:customStyle="1" w:styleId="FooterChar">
    <w:name w:val="Footer Char"/>
    <w:basedOn w:val="DefaultParagraphFont"/>
    <w:link w:val="Footer"/>
    <w:uiPriority w:val="99"/>
    <w:rsid w:val="00B21B8A"/>
  </w:style>
  <w:style w:type="table" w:customStyle="1" w:styleId="TableGrid1">
    <w:name w:val="Table Grid1"/>
    <w:basedOn w:val="TableNormal"/>
    <w:next w:val="TableGrid"/>
    <w:uiPriority w:val="59"/>
    <w:rsid w:val="00B21B8A"/>
    <w:pPr>
      <w:spacing w:line="240" w:lineRule="auto"/>
    </w:pPr>
    <w:rPr>
      <w:rFonts w:cs="Times New Roman"/>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B21B8A"/>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54D8C"/>
    <w:pPr>
      <w:ind w:left="720"/>
      <w:contextualSpacing/>
    </w:pPr>
  </w:style>
  <w:style w:type="paragraph" w:styleId="BalloonText">
    <w:name w:val="Balloon Text"/>
    <w:basedOn w:val="Normal"/>
    <w:link w:val="BalloonTextChar"/>
    <w:uiPriority w:val="99"/>
    <w:semiHidden/>
    <w:unhideWhenUsed/>
    <w:rsid w:val="000C25A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25A0"/>
    <w:rPr>
      <w:rFonts w:ascii="Tahoma" w:hAnsi="Tahoma" w:cs="Tahoma"/>
      <w:sz w:val="16"/>
      <w:szCs w:val="16"/>
    </w:rPr>
  </w:style>
  <w:style w:type="paragraph" w:styleId="Header">
    <w:name w:val="header"/>
    <w:basedOn w:val="Normal"/>
    <w:link w:val="HeaderChar"/>
    <w:uiPriority w:val="99"/>
    <w:unhideWhenUsed/>
    <w:rsid w:val="00EB7293"/>
    <w:pPr>
      <w:tabs>
        <w:tab w:val="center" w:pos="4680"/>
        <w:tab w:val="right" w:pos="9360"/>
      </w:tabs>
      <w:spacing w:line="240" w:lineRule="auto"/>
    </w:pPr>
  </w:style>
  <w:style w:type="character" w:customStyle="1" w:styleId="HeaderChar">
    <w:name w:val="Header Char"/>
    <w:basedOn w:val="DefaultParagraphFont"/>
    <w:link w:val="Header"/>
    <w:uiPriority w:val="99"/>
    <w:rsid w:val="00EB7293"/>
  </w:style>
  <w:style w:type="character" w:styleId="Hyperlink">
    <w:name w:val="Hyperlink"/>
    <w:basedOn w:val="DefaultParagraphFont"/>
    <w:uiPriority w:val="99"/>
    <w:unhideWhenUsed/>
    <w:rsid w:val="008B7026"/>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1B8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B21B8A"/>
    <w:pPr>
      <w:tabs>
        <w:tab w:val="center" w:pos="4680"/>
        <w:tab w:val="right" w:pos="9360"/>
      </w:tabs>
      <w:spacing w:line="240" w:lineRule="auto"/>
    </w:pPr>
  </w:style>
  <w:style w:type="character" w:customStyle="1" w:styleId="FooterChar">
    <w:name w:val="Footer Char"/>
    <w:basedOn w:val="DefaultParagraphFont"/>
    <w:link w:val="Footer"/>
    <w:uiPriority w:val="99"/>
    <w:rsid w:val="00B21B8A"/>
  </w:style>
  <w:style w:type="table" w:customStyle="1" w:styleId="TableGrid1">
    <w:name w:val="Table Grid1"/>
    <w:basedOn w:val="TableNormal"/>
    <w:next w:val="TableGrid"/>
    <w:uiPriority w:val="59"/>
    <w:rsid w:val="00B21B8A"/>
    <w:pPr>
      <w:spacing w:line="240" w:lineRule="auto"/>
    </w:pPr>
    <w:rPr>
      <w:rFonts w:cs="Times New Roman"/>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B21B8A"/>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54D8C"/>
    <w:pPr>
      <w:ind w:left="720"/>
      <w:contextualSpacing/>
    </w:pPr>
  </w:style>
  <w:style w:type="paragraph" w:styleId="BalloonText">
    <w:name w:val="Balloon Text"/>
    <w:basedOn w:val="Normal"/>
    <w:link w:val="BalloonTextChar"/>
    <w:uiPriority w:val="99"/>
    <w:semiHidden/>
    <w:unhideWhenUsed/>
    <w:rsid w:val="000C25A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25A0"/>
    <w:rPr>
      <w:rFonts w:ascii="Tahoma" w:hAnsi="Tahoma" w:cs="Tahoma"/>
      <w:sz w:val="16"/>
      <w:szCs w:val="16"/>
    </w:rPr>
  </w:style>
  <w:style w:type="paragraph" w:styleId="Header">
    <w:name w:val="header"/>
    <w:basedOn w:val="Normal"/>
    <w:link w:val="HeaderChar"/>
    <w:uiPriority w:val="99"/>
    <w:unhideWhenUsed/>
    <w:rsid w:val="00EB7293"/>
    <w:pPr>
      <w:tabs>
        <w:tab w:val="center" w:pos="4680"/>
        <w:tab w:val="right" w:pos="9360"/>
      </w:tabs>
      <w:spacing w:line="240" w:lineRule="auto"/>
    </w:pPr>
  </w:style>
  <w:style w:type="character" w:customStyle="1" w:styleId="HeaderChar">
    <w:name w:val="Header Char"/>
    <w:basedOn w:val="DefaultParagraphFont"/>
    <w:link w:val="Header"/>
    <w:uiPriority w:val="99"/>
    <w:rsid w:val="00EB7293"/>
  </w:style>
  <w:style w:type="character" w:styleId="Hyperlink">
    <w:name w:val="Hyperlink"/>
    <w:basedOn w:val="DefaultParagraphFont"/>
    <w:uiPriority w:val="99"/>
    <w:unhideWhenUsed/>
    <w:rsid w:val="008B702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4181</Words>
  <Characters>21910</Characters>
  <Application>Microsoft Macintosh Word</Application>
  <DocSecurity>0</DocSecurity>
  <Lines>342</Lines>
  <Paragraphs>58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26033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4</cp:revision>
  <dcterms:created xsi:type="dcterms:W3CDTF">2012-04-11T01:51:00Z</dcterms:created>
  <dcterms:modified xsi:type="dcterms:W3CDTF">2012-06-17T13:59:00Z</dcterms:modified>
  <cp:category/>
</cp:coreProperties>
</file>